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spacing w:line="500" w:lineRule="exact"/>
        <w:ind w:left="0" w:leftChars="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证券代码：300250    证券简称：初灵信息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   公告编号：202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-0</w:t>
      </w:r>
      <w:r>
        <w:rPr>
          <w:rFonts w:hint="eastAsia" w:ascii="宋体" w:hAnsi="宋体"/>
          <w:sz w:val="28"/>
          <w:szCs w:val="28"/>
          <w:lang w:val="en-US" w:eastAsia="zh-CN"/>
        </w:rPr>
        <w:t>65</w:t>
      </w:r>
    </w:p>
    <w:p>
      <w:pPr>
        <w:jc w:val="center"/>
        <w:rPr>
          <w:b/>
          <w:sz w:val="30"/>
          <w:szCs w:val="30"/>
          <w:lang w:val="en-GB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28"/>
          <w:lang w:val="en-GB"/>
        </w:rPr>
        <w:t>杭州初灵信息技术股份有限公司</w:t>
      </w:r>
    </w:p>
    <w:p>
      <w:pPr>
        <w:jc w:val="center"/>
        <w:rPr>
          <w:rFonts w:hint="eastAsia" w:hAnsi="宋体" w:eastAsia="宋体"/>
          <w:b/>
          <w:bCs/>
          <w:sz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28"/>
        </w:rPr>
        <w:t>202</w:t>
      </w:r>
      <w:r>
        <w:rPr>
          <w:rFonts w:hint="eastAsia" w:ascii="宋体" w:hAnsi="宋体" w:eastAsia="宋体" w:cs="宋体"/>
          <w:b/>
          <w:bCs/>
          <w:sz w:val="32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2"/>
          <w:szCs w:val="28"/>
        </w:rPr>
        <w:t>年</w:t>
      </w:r>
      <w:r>
        <w:rPr>
          <w:rFonts w:hint="eastAsia" w:ascii="宋体" w:hAnsi="宋体" w:cs="宋体"/>
          <w:b/>
          <w:bCs/>
          <w:sz w:val="32"/>
          <w:szCs w:val="28"/>
          <w:lang w:eastAsia="zh-CN"/>
        </w:rPr>
        <w:t>第二次临时股东</w:t>
      </w:r>
      <w:r>
        <w:rPr>
          <w:rFonts w:hint="eastAsia" w:ascii="宋体" w:hAnsi="宋体" w:eastAsia="宋体" w:cs="宋体"/>
          <w:b/>
          <w:bCs/>
          <w:sz w:val="32"/>
          <w:szCs w:val="28"/>
        </w:rPr>
        <w:t>大会决议</w:t>
      </w:r>
      <w:r>
        <w:rPr>
          <w:rFonts w:hint="eastAsia" w:ascii="宋体" w:hAnsi="宋体" w:eastAsia="宋体" w:cs="宋体"/>
          <w:b/>
          <w:bCs/>
          <w:sz w:val="32"/>
          <w:szCs w:val="28"/>
          <w:lang w:val="en-US" w:eastAsia="zh-CN"/>
        </w:rPr>
        <w:t>公告</w:t>
      </w: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b/>
                <w:bCs/>
                <w:sz w:val="28"/>
              </w:rPr>
            </w:pPr>
            <w:r>
              <w:rPr>
                <w:rFonts w:hint="eastAsia" w:hAnsi="宋体"/>
                <w:color w:val="000000"/>
                <w:sz w:val="24"/>
                <w:szCs w:val="18"/>
              </w:rPr>
              <w:t>本公司及董事会全体成员保证信息披露的内容真实、准确、完整，没有虚假记载、误导性陈述或重大遗漏。</w:t>
            </w:r>
          </w:p>
        </w:tc>
      </w:tr>
    </w:tbl>
    <w:p>
      <w:pPr>
        <w:spacing w:line="300" w:lineRule="auto"/>
        <w:rPr>
          <w:rFonts w:hint="eastAsia" w:ascii="宋体" w:hAnsi="宋体"/>
          <w:sz w:val="24"/>
        </w:rPr>
      </w:pPr>
    </w:p>
    <w:p>
      <w:pPr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特别提示：</w:t>
      </w:r>
    </w:p>
    <w:p>
      <w:pPr>
        <w:spacing w:line="300" w:lineRule="auto"/>
        <w:ind w:firstLine="480" w:firstLineChars="200"/>
        <w:rPr>
          <w:rFonts w:hint="eastAsia" w:ascii="宋体" w:hAnsi="宋体" w:eastAsia="宋体" w:cs="Times New Roman"/>
          <w:sz w:val="24"/>
          <w:lang w:eastAsia="zh-CN"/>
        </w:rPr>
      </w:pPr>
      <w:r>
        <w:rPr>
          <w:rFonts w:hint="eastAsia" w:ascii="宋体" w:hAnsi="宋体" w:eastAsia="宋体" w:cs="Times New Roman"/>
          <w:sz w:val="24"/>
          <w:lang w:eastAsia="zh-CN"/>
        </w:rPr>
        <w:t>1、本次股东大会无增加、变更、否决提案的情况；</w:t>
      </w:r>
    </w:p>
    <w:p>
      <w:pPr>
        <w:spacing w:line="300" w:lineRule="auto"/>
        <w:ind w:firstLine="480" w:firstLineChars="200"/>
        <w:rPr>
          <w:color w:val="auto"/>
          <w:kern w:val="2"/>
        </w:rPr>
      </w:pPr>
      <w:r>
        <w:rPr>
          <w:rFonts w:hint="eastAsia" w:ascii="宋体" w:hAnsi="宋体" w:eastAsia="宋体" w:cs="Times New Roman"/>
          <w:sz w:val="24"/>
          <w:lang w:eastAsia="zh-CN"/>
        </w:rPr>
        <w:t>2、本次股东大会采取现场投票结合网络投票的方式召开。</w:t>
      </w:r>
    </w:p>
    <w:p>
      <w:pPr>
        <w:spacing w:line="300" w:lineRule="auto"/>
        <w:ind w:firstLine="630" w:firstLineChars="300"/>
        <w:rPr>
          <w:color w:val="auto"/>
          <w:kern w:val="2"/>
        </w:rPr>
      </w:pPr>
    </w:p>
    <w:p>
      <w:pPr>
        <w:spacing w:line="30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一、会议召开情况</w:t>
      </w:r>
    </w:p>
    <w:p>
      <w:pPr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（一）现场会议召开时间：</w:t>
      </w:r>
      <w:r>
        <w:rPr>
          <w:rFonts w:hint="eastAsia" w:ascii="宋体" w:hAnsi="宋体"/>
          <w:sz w:val="24"/>
          <w:lang w:eastAsia="zh-CN"/>
        </w:rPr>
        <w:t>2023年12月28日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eastAsia="zh-CN"/>
        </w:rPr>
        <w:t>星期四</w:t>
      </w:r>
      <w:r>
        <w:rPr>
          <w:rFonts w:hint="eastAsia" w:ascii="宋体" w:hAnsi="宋体"/>
          <w:sz w:val="24"/>
        </w:rPr>
        <w:t>）下午15：00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网络投票时间：</w:t>
      </w:r>
      <w:r>
        <w:rPr>
          <w:rFonts w:ascii="宋体" w:hAnsi="宋体"/>
          <w:sz w:val="24"/>
        </w:rPr>
        <w:t>通过深圳证券交易所交易系统投票的时间为</w:t>
      </w:r>
      <w:r>
        <w:rPr>
          <w:rFonts w:hint="eastAsia" w:ascii="宋体" w:hAnsi="宋体"/>
          <w:sz w:val="24"/>
          <w:lang w:eastAsia="zh-CN"/>
        </w:rPr>
        <w:t>2023年12月28日</w:t>
      </w:r>
      <w:r>
        <w:rPr>
          <w:rFonts w:ascii="宋体" w:hAnsi="宋体"/>
          <w:sz w:val="24"/>
        </w:rPr>
        <w:t>上午</w:t>
      </w:r>
      <w:r>
        <w:rPr>
          <w:rFonts w:hint="eastAsia" w:ascii="宋体" w:hAnsi="宋体"/>
          <w:sz w:val="24"/>
        </w:rPr>
        <w:t>9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15-9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25，</w:t>
      </w:r>
      <w:r>
        <w:rPr>
          <w:rFonts w:ascii="宋体" w:hAnsi="宋体"/>
          <w:sz w:val="24"/>
        </w:rPr>
        <w:t>9:30-11:30</w:t>
      </w:r>
      <w:r>
        <w:rPr>
          <w:rFonts w:hint="eastAsia" w:ascii="宋体" w:hAnsi="宋体"/>
          <w:sz w:val="24"/>
        </w:rPr>
        <w:t>和</w:t>
      </w:r>
      <w:r>
        <w:rPr>
          <w:rFonts w:ascii="宋体" w:hAnsi="宋体"/>
          <w:sz w:val="24"/>
        </w:rPr>
        <w:t>下午13:00-15:00；通过深圳证券交易所互联网投票系统投票的时间为</w:t>
      </w:r>
      <w:r>
        <w:rPr>
          <w:rFonts w:hint="eastAsia" w:ascii="宋体" w:hAnsi="宋体"/>
          <w:sz w:val="24"/>
          <w:lang w:eastAsia="zh-CN"/>
        </w:rPr>
        <w:t>2023年12月28日</w:t>
      </w:r>
      <w:r>
        <w:rPr>
          <w:rFonts w:hint="eastAsia" w:ascii="宋体" w:hAnsi="宋体"/>
          <w:sz w:val="24"/>
        </w:rPr>
        <w:t>上午9:15</w:t>
      </w:r>
      <w:r>
        <w:rPr>
          <w:rFonts w:ascii="宋体" w:hAnsi="宋体"/>
          <w:sz w:val="24"/>
        </w:rPr>
        <w:t>至下午15:00期间的任意时间。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（二）会议召开地点：杭州初灵信息技术股份有限公司会议室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（三）会议召集人：公司第</w:t>
      </w:r>
      <w:r>
        <w:rPr>
          <w:rFonts w:hint="eastAsia" w:ascii="宋体" w:hAnsi="宋体"/>
          <w:sz w:val="24"/>
          <w:lang w:val="en-US" w:eastAsia="zh-CN"/>
        </w:rPr>
        <w:t>五</w:t>
      </w:r>
      <w:r>
        <w:rPr>
          <w:rFonts w:hint="eastAsia" w:ascii="宋体" w:hAnsi="宋体"/>
          <w:sz w:val="24"/>
        </w:rPr>
        <w:t>届董事会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（四）召开方式：现场投票和网络投票相结合的方式</w:t>
      </w:r>
      <w:r>
        <w:rPr>
          <w:rFonts w:ascii="宋体" w:hAnsi="宋体"/>
          <w:sz w:val="24"/>
        </w:rPr>
        <w:t xml:space="preserve"> 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（五）会议主持人：董事长洪爱金先生  </w:t>
      </w:r>
    </w:p>
    <w:p>
      <w:pPr>
        <w:spacing w:line="360" w:lineRule="auto"/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经公司</w:t>
      </w:r>
      <w:r>
        <w:rPr>
          <w:rFonts w:hint="eastAsia" w:ascii="宋体" w:hAnsi="宋体"/>
          <w:sz w:val="24"/>
          <w:lang w:eastAsia="zh-CN"/>
        </w:rPr>
        <w:t>第</w:t>
      </w:r>
      <w:r>
        <w:rPr>
          <w:rFonts w:hint="eastAsia" w:ascii="宋体" w:hAnsi="宋体"/>
          <w:sz w:val="24"/>
          <w:lang w:val="en-US" w:eastAsia="zh-CN"/>
        </w:rPr>
        <w:t>五</w:t>
      </w:r>
      <w:r>
        <w:rPr>
          <w:rFonts w:hint="eastAsia" w:ascii="宋体" w:hAnsi="宋体"/>
          <w:sz w:val="24"/>
          <w:lang w:eastAsia="zh-CN"/>
        </w:rPr>
        <w:t>届董事会第</w:t>
      </w:r>
      <w:r>
        <w:rPr>
          <w:rFonts w:hint="eastAsia" w:ascii="宋体" w:hAnsi="宋体"/>
          <w:sz w:val="24"/>
          <w:lang w:val="en-US" w:eastAsia="zh-CN"/>
        </w:rPr>
        <w:t>七</w:t>
      </w:r>
      <w:r>
        <w:rPr>
          <w:rFonts w:hint="eastAsia" w:ascii="宋体" w:hAnsi="宋体"/>
          <w:sz w:val="24"/>
          <w:lang w:eastAsia="zh-CN"/>
        </w:rPr>
        <w:t>次会议</w:t>
      </w:r>
      <w:r>
        <w:rPr>
          <w:rFonts w:hint="eastAsia" w:ascii="宋体" w:hAnsi="宋体"/>
          <w:sz w:val="24"/>
        </w:rPr>
        <w:t>审议通过，决定召开股东大会，本次会议的召集和召开符合有关法律、行政法规、部门规章、规范性文件和公司章程的规定。</w:t>
      </w:r>
      <w:bookmarkStart w:id="0" w:name="_GoBack"/>
      <w:bookmarkEnd w:id="0"/>
    </w:p>
    <w:p>
      <w:pPr>
        <w:spacing w:line="300" w:lineRule="auto"/>
        <w:ind w:firstLine="472" w:firstLineChars="196"/>
        <w:rPr>
          <w:rFonts w:hint="eastAsia" w:ascii="宋体" w:hAnsi="宋体"/>
          <w:b/>
          <w:sz w:val="24"/>
        </w:rPr>
      </w:pPr>
    </w:p>
    <w:p>
      <w:pPr>
        <w:spacing w:line="300" w:lineRule="auto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二、会议出席情况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出席本次会议的股东及股东代理人共计</w:t>
      </w:r>
      <w:r>
        <w:rPr>
          <w:rFonts w:hint="eastAsia" w:ascii="宋体" w:hAnsi="宋体"/>
          <w:sz w:val="24"/>
          <w:highlight w:val="none"/>
          <w:lang w:val="en-US" w:eastAsia="zh-CN"/>
        </w:rPr>
        <w:t>4</w:t>
      </w:r>
      <w:r>
        <w:rPr>
          <w:rFonts w:ascii="宋体" w:hAnsi="宋体"/>
          <w:sz w:val="24"/>
          <w:highlight w:val="none"/>
        </w:rPr>
        <w:t>人，代表股份</w:t>
      </w:r>
      <w:r>
        <w:rPr>
          <w:rFonts w:hint="eastAsia" w:ascii="宋体" w:hAnsi="宋体"/>
          <w:sz w:val="24"/>
          <w:highlight w:val="none"/>
          <w:lang w:eastAsia="zh-CN"/>
        </w:rPr>
        <w:t>74,957,399</w:t>
      </w:r>
      <w:r>
        <w:rPr>
          <w:rFonts w:ascii="宋体" w:hAnsi="宋体"/>
          <w:sz w:val="24"/>
          <w:highlight w:val="none"/>
        </w:rPr>
        <w:t>股，占公司股份总数的</w:t>
      </w:r>
      <w:r>
        <w:rPr>
          <w:rFonts w:hint="eastAsia" w:ascii="宋体" w:hAnsi="宋体"/>
          <w:sz w:val="24"/>
          <w:highlight w:val="none"/>
          <w:lang w:eastAsia="zh-CN"/>
        </w:rPr>
        <w:t>34.0731％</w:t>
      </w:r>
      <w:r>
        <w:rPr>
          <w:rFonts w:ascii="宋体" w:hAnsi="宋体"/>
          <w:sz w:val="24"/>
          <w:highlight w:val="none"/>
        </w:rPr>
        <w:t>。其中，参加现场股东大会的股东及股东代理人共</w:t>
      </w:r>
      <w:r>
        <w:rPr>
          <w:rFonts w:hint="eastAsia" w:ascii="宋体" w:hAnsi="宋体"/>
          <w:sz w:val="24"/>
          <w:highlight w:val="none"/>
          <w:lang w:val="en-US" w:eastAsia="zh-CN"/>
        </w:rPr>
        <w:t>4</w:t>
      </w:r>
      <w:r>
        <w:rPr>
          <w:rFonts w:ascii="宋体" w:hAnsi="宋体"/>
          <w:sz w:val="24"/>
          <w:highlight w:val="none"/>
        </w:rPr>
        <w:t>人，代表股份</w:t>
      </w:r>
      <w:r>
        <w:rPr>
          <w:rFonts w:hint="eastAsia" w:ascii="宋体" w:hAnsi="宋体"/>
          <w:sz w:val="24"/>
          <w:highlight w:val="none"/>
          <w:lang w:eastAsia="zh-CN"/>
        </w:rPr>
        <w:t>74,957,399</w:t>
      </w:r>
      <w:r>
        <w:rPr>
          <w:rFonts w:ascii="宋体" w:hAnsi="宋体"/>
          <w:sz w:val="24"/>
          <w:highlight w:val="none"/>
        </w:rPr>
        <w:t>股，占公司股份总数的</w:t>
      </w:r>
      <w:r>
        <w:rPr>
          <w:rFonts w:hint="eastAsia" w:ascii="宋体" w:hAnsi="宋体"/>
          <w:sz w:val="24"/>
          <w:highlight w:val="none"/>
          <w:lang w:eastAsia="zh-CN"/>
        </w:rPr>
        <w:t>34.0731％</w:t>
      </w:r>
      <w:r>
        <w:rPr>
          <w:rFonts w:ascii="宋体" w:hAnsi="宋体"/>
          <w:sz w:val="24"/>
          <w:highlight w:val="none"/>
        </w:rPr>
        <w:t>；参与网络投票的股东</w:t>
      </w:r>
      <w:r>
        <w:rPr>
          <w:rFonts w:hint="eastAsia" w:ascii="宋体" w:hAnsi="宋体"/>
          <w:sz w:val="24"/>
          <w:highlight w:val="none"/>
          <w:lang w:val="en-US" w:eastAsia="zh-CN"/>
        </w:rPr>
        <w:t>0</w:t>
      </w:r>
      <w:r>
        <w:rPr>
          <w:rFonts w:ascii="宋体" w:hAnsi="宋体"/>
          <w:sz w:val="24"/>
          <w:highlight w:val="none"/>
        </w:rPr>
        <w:t>人，代表</w:t>
      </w:r>
      <w:r>
        <w:rPr>
          <w:rFonts w:hint="eastAsia" w:ascii="宋体" w:hAnsi="宋体"/>
          <w:sz w:val="24"/>
          <w:highlight w:val="none"/>
        </w:rPr>
        <w:t>股份</w:t>
      </w:r>
      <w:r>
        <w:rPr>
          <w:rFonts w:hint="eastAsia" w:ascii="宋体" w:hAnsi="宋体"/>
          <w:sz w:val="24"/>
          <w:highlight w:val="none"/>
          <w:lang w:val="en-US" w:eastAsia="zh-CN"/>
        </w:rPr>
        <w:t>0</w:t>
      </w:r>
      <w:r>
        <w:rPr>
          <w:rFonts w:hint="eastAsia" w:ascii="宋体" w:hAnsi="宋体"/>
          <w:sz w:val="24"/>
          <w:highlight w:val="none"/>
        </w:rPr>
        <w:t>股，占公司股份总数的</w:t>
      </w:r>
      <w:r>
        <w:rPr>
          <w:rFonts w:hint="eastAsia" w:ascii="宋体" w:hAnsi="宋体"/>
          <w:sz w:val="24"/>
          <w:highlight w:val="none"/>
          <w:lang w:eastAsia="zh-CN"/>
        </w:rPr>
        <w:t>0.00</w:t>
      </w:r>
      <w:r>
        <w:rPr>
          <w:rFonts w:hint="eastAsia" w:ascii="宋体" w:hAnsi="宋体"/>
          <w:sz w:val="24"/>
          <w:highlight w:val="none"/>
          <w:lang w:val="en-US" w:eastAsia="zh-CN"/>
        </w:rPr>
        <w:t>00</w:t>
      </w:r>
      <w:r>
        <w:rPr>
          <w:rFonts w:hint="eastAsia" w:ascii="宋体" w:hAnsi="宋体"/>
          <w:sz w:val="24"/>
          <w:highlight w:val="none"/>
        </w:rPr>
        <w:t>％。</w:t>
      </w:r>
    </w:p>
    <w:p>
      <w:pPr>
        <w:autoSpaceDE w:val="0"/>
        <w:autoSpaceDN w:val="0"/>
        <w:adjustRightInd w:val="0"/>
        <w:spacing w:line="360" w:lineRule="auto"/>
        <w:ind w:firstLine="600" w:firstLineChars="250"/>
        <w:jc w:val="left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公司部分董事、监事、高级管理人员及见证律师出席了本次会议。</w:t>
      </w:r>
    </w:p>
    <w:p>
      <w:pPr>
        <w:autoSpaceDE w:val="0"/>
        <w:autoSpaceDN w:val="0"/>
        <w:adjustRightInd w:val="0"/>
        <w:spacing w:line="360" w:lineRule="auto"/>
        <w:ind w:firstLine="590" w:firstLineChars="245"/>
        <w:jc w:val="left"/>
        <w:rPr>
          <w:rFonts w:hint="eastAsia" w:ascii="宋体" w:hAnsi="宋体"/>
          <w:b/>
          <w:color w:val="000000"/>
          <w:sz w:val="24"/>
          <w:szCs w:val="1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ind w:firstLine="590" w:firstLineChars="245"/>
        <w:jc w:val="left"/>
        <w:rPr>
          <w:rFonts w:ascii="宋体" w:hAnsi="宋体"/>
          <w:b/>
          <w:color w:val="000000"/>
          <w:sz w:val="24"/>
          <w:szCs w:val="18"/>
          <w:highlight w:val="none"/>
        </w:rPr>
      </w:pPr>
      <w:r>
        <w:rPr>
          <w:rFonts w:hint="eastAsia" w:ascii="宋体" w:hAnsi="宋体"/>
          <w:b/>
          <w:color w:val="000000"/>
          <w:sz w:val="24"/>
          <w:szCs w:val="18"/>
          <w:highlight w:val="none"/>
        </w:rPr>
        <w:t>三、议案审议与表决情况</w:t>
      </w:r>
    </w:p>
    <w:p>
      <w:pPr>
        <w:autoSpaceDE w:val="0"/>
        <w:autoSpaceDN w:val="0"/>
        <w:adjustRightInd w:val="0"/>
        <w:spacing w:line="360" w:lineRule="auto"/>
        <w:ind w:firstLine="600" w:firstLineChars="250"/>
        <w:jc w:val="left"/>
        <w:rPr>
          <w:rFonts w:hint="eastAsia" w:ascii="宋体" w:hAnsi="宋体"/>
          <w:color w:val="000000"/>
          <w:sz w:val="24"/>
          <w:szCs w:val="18"/>
          <w:highlight w:val="none"/>
        </w:rPr>
      </w:pPr>
      <w:r>
        <w:rPr>
          <w:rFonts w:hint="eastAsia" w:ascii="宋体" w:hAnsi="宋体"/>
          <w:color w:val="000000"/>
          <w:sz w:val="24"/>
          <w:szCs w:val="18"/>
          <w:highlight w:val="none"/>
        </w:rPr>
        <w:t>本次股东大会以现场投票结合网络投票的方式对议案进行表决。</w:t>
      </w:r>
    </w:p>
    <w:p>
      <w:pPr>
        <w:pStyle w:val="20"/>
        <w:spacing w:before="50" w:after="50" w:line="360" w:lineRule="auto"/>
        <w:ind w:firstLine="482" w:firstLineChars="200"/>
        <w:rPr>
          <w:b/>
          <w:kern w:val="2"/>
          <w:szCs w:val="18"/>
          <w:highlight w:val="none"/>
        </w:rPr>
      </w:pPr>
      <w:r>
        <w:rPr>
          <w:b/>
          <w:kern w:val="2"/>
          <w:szCs w:val="18"/>
          <w:highlight w:val="none"/>
        </w:rPr>
        <w:t>（一）审议通过了</w:t>
      </w:r>
      <w:r>
        <w:rPr>
          <w:rFonts w:hint="eastAsia"/>
          <w:b/>
          <w:kern w:val="2"/>
          <w:szCs w:val="18"/>
          <w:highlight w:val="none"/>
        </w:rPr>
        <w:t>《关于修订&lt;公司章程&gt;的议案》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  <w:szCs w:val="18"/>
          <w:highlight w:val="none"/>
        </w:rPr>
      </w:pPr>
      <w:r>
        <w:rPr>
          <w:rFonts w:ascii="宋体" w:hAnsi="宋体"/>
          <w:sz w:val="24"/>
          <w:highlight w:val="none"/>
        </w:rPr>
        <w:t>表决结果：</w:t>
      </w:r>
      <w:r>
        <w:rPr>
          <w:rFonts w:hint="eastAsia" w:ascii="宋体" w:hAnsi="宋体"/>
          <w:sz w:val="24"/>
          <w:highlight w:val="none"/>
        </w:rPr>
        <w:t>同意74,957,399股，占出席会议所有股东所持股份的100.0000％；反对0股，占出席会议所有股东所持股份的0.0000％；弃权0股（其中，因未投票默认弃权0股），占出席会议所有股东所持股份的0.0000％。</w:t>
      </w:r>
      <w:r>
        <w:rPr>
          <w:rFonts w:ascii="宋体" w:hAnsi="宋体"/>
          <w:color w:val="000000"/>
          <w:sz w:val="24"/>
          <w:szCs w:val="18"/>
          <w:highlight w:val="none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18"/>
          <w:highlight w:val="none"/>
        </w:rPr>
      </w:pPr>
      <w:r>
        <w:rPr>
          <w:rFonts w:hint="eastAsia" w:ascii="宋体" w:hAnsi="宋体"/>
          <w:sz w:val="24"/>
          <w:highlight w:val="none"/>
        </w:rPr>
        <w:t>中小股东表决结果：</w:t>
      </w:r>
      <w:r>
        <w:rPr>
          <w:rFonts w:hint="eastAsia" w:ascii="宋体" w:hAnsi="宋体"/>
          <w:sz w:val="24"/>
          <w:highlight w:val="none"/>
          <w:lang w:eastAsia="zh-CN"/>
        </w:rPr>
        <w:t>同意0股，占出席会议的中小股东所持股份的0.0000％；反对0股，占出席会议的中小股东所持股份的0.0000％；弃权0股（其中，因未投票默认弃权0股），占出席会议的中小股东所持股份的0.0000％。</w:t>
      </w:r>
      <w:r>
        <w:rPr>
          <w:rFonts w:ascii="宋体" w:hAnsi="宋体"/>
          <w:color w:val="000000"/>
          <w:sz w:val="24"/>
          <w:szCs w:val="18"/>
          <w:highlight w:val="none"/>
        </w:rPr>
        <w:t xml:space="preserve">  </w:t>
      </w:r>
    </w:p>
    <w:p>
      <w:pPr>
        <w:pStyle w:val="20"/>
        <w:spacing w:before="50" w:after="50" w:line="360" w:lineRule="auto"/>
        <w:ind w:firstLine="480" w:firstLineChars="200"/>
        <w:rPr>
          <w:kern w:val="2"/>
          <w:szCs w:val="18"/>
          <w:highlight w:val="none"/>
        </w:rPr>
      </w:pPr>
      <w:r>
        <w:rPr>
          <w:kern w:val="2"/>
          <w:szCs w:val="18"/>
          <w:highlight w:val="none"/>
        </w:rPr>
        <w:t>本议案获表决通过。</w:t>
      </w:r>
    </w:p>
    <w:p>
      <w:pPr>
        <w:pStyle w:val="20"/>
        <w:numPr>
          <w:ilvl w:val="0"/>
          <w:numId w:val="1"/>
        </w:numPr>
        <w:spacing w:before="50" w:after="50" w:line="360" w:lineRule="auto"/>
        <w:ind w:firstLine="482" w:firstLineChars="200"/>
        <w:rPr>
          <w:rFonts w:cs="宋体"/>
          <w:b/>
          <w:bCs/>
          <w:szCs w:val="24"/>
          <w:highlight w:val="none"/>
        </w:rPr>
      </w:pPr>
      <w:r>
        <w:rPr>
          <w:b/>
          <w:color w:val="auto"/>
          <w:kern w:val="2"/>
          <w:highlight w:val="none"/>
        </w:rPr>
        <w:t>审议通过了</w:t>
      </w:r>
      <w:r>
        <w:rPr>
          <w:rFonts w:hint="eastAsia"/>
          <w:b/>
          <w:color w:val="auto"/>
          <w:kern w:val="2"/>
          <w:highlight w:val="none"/>
        </w:rPr>
        <w:t>《独立董事工作制度（2023年12月修订）》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  <w:szCs w:val="18"/>
          <w:highlight w:val="none"/>
        </w:rPr>
      </w:pPr>
      <w:r>
        <w:rPr>
          <w:rFonts w:ascii="宋体" w:hAnsi="宋体"/>
          <w:sz w:val="24"/>
          <w:highlight w:val="none"/>
        </w:rPr>
        <w:t>表决结果：</w:t>
      </w:r>
      <w:r>
        <w:rPr>
          <w:rFonts w:hint="eastAsia" w:ascii="宋体" w:hAnsi="宋体"/>
          <w:sz w:val="24"/>
          <w:highlight w:val="none"/>
          <w:lang w:eastAsia="zh-CN"/>
        </w:rPr>
        <w:t>同意74,957,399股，占出席会议所有股东所持股份的100.0000％；反对0股，占出席会议所有股东所持股份的0.0000％；弃权0股（其中，因未投票默认弃权0股），占出席会议所有股东所持股份的0.0000％。</w:t>
      </w:r>
      <w:r>
        <w:rPr>
          <w:rFonts w:ascii="宋体" w:hAnsi="宋体"/>
          <w:color w:val="000000"/>
          <w:sz w:val="24"/>
          <w:szCs w:val="18"/>
          <w:highlight w:val="none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  <w:szCs w:val="18"/>
          <w:highlight w:val="none"/>
        </w:rPr>
      </w:pPr>
      <w:r>
        <w:rPr>
          <w:rFonts w:hint="eastAsia" w:ascii="宋体" w:hAnsi="宋体"/>
          <w:sz w:val="24"/>
          <w:highlight w:val="none"/>
        </w:rPr>
        <w:t>中小股东表决结果：</w:t>
      </w:r>
      <w:r>
        <w:rPr>
          <w:rFonts w:hint="eastAsia" w:ascii="宋体" w:hAnsi="宋体"/>
          <w:sz w:val="24"/>
          <w:highlight w:val="none"/>
          <w:lang w:eastAsia="zh-CN"/>
        </w:rPr>
        <w:t>同意0股，占出席会议的中小股东所持股份的0.0000％；反对0股，占出席会议的中小股东所持股份的0.0000％；弃权0股（其中，因未投票默认弃权0股），占出席会议的中小股东所持股份的0.0000％。</w:t>
      </w:r>
      <w:r>
        <w:rPr>
          <w:rFonts w:ascii="宋体" w:hAnsi="宋体"/>
          <w:color w:val="000000"/>
          <w:sz w:val="24"/>
          <w:szCs w:val="18"/>
          <w:highlight w:val="none"/>
        </w:rPr>
        <w:t xml:space="preserve">  </w:t>
      </w:r>
    </w:p>
    <w:p>
      <w:pPr>
        <w:pStyle w:val="20"/>
        <w:spacing w:before="50" w:after="50" w:line="360" w:lineRule="auto"/>
        <w:ind w:firstLine="480" w:firstLineChars="200"/>
        <w:rPr>
          <w:rFonts w:hint="eastAsia" w:ascii="宋体" w:hAnsi="宋体"/>
          <w:b/>
          <w:bCs/>
          <w:sz w:val="24"/>
          <w:szCs w:val="24"/>
          <w:highlight w:val="none"/>
        </w:rPr>
      </w:pPr>
      <w:r>
        <w:rPr>
          <w:kern w:val="2"/>
          <w:szCs w:val="18"/>
          <w:highlight w:val="none"/>
        </w:rPr>
        <w:t>本议案获表决通过。</w:t>
      </w:r>
    </w:p>
    <w:p>
      <w:pPr>
        <w:autoSpaceDE w:val="0"/>
        <w:autoSpaceDN w:val="0"/>
        <w:adjustRightInd w:val="0"/>
        <w:spacing w:line="360" w:lineRule="auto"/>
        <w:ind w:right="1120" w:firstLine="5376" w:firstLineChars="2240"/>
        <w:jc w:val="left"/>
        <w:rPr>
          <w:rFonts w:hint="eastAsia" w:ascii="宋体" w:hAnsi="宋体"/>
          <w:sz w:val="24"/>
          <w:szCs w:val="24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ind w:firstLine="470" w:firstLineChars="196"/>
        <w:jc w:val="left"/>
        <w:rPr>
          <w:rFonts w:ascii="宋体" w:hAnsi="宋体"/>
          <w:b/>
          <w:color w:val="000000"/>
          <w:sz w:val="24"/>
          <w:szCs w:val="18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b/>
          <w:color w:val="000000"/>
          <w:sz w:val="24"/>
          <w:szCs w:val="18"/>
          <w:highlight w:val="none"/>
        </w:rPr>
        <w:t>四、律师出具的法律意见</w:t>
      </w:r>
    </w:p>
    <w:p>
      <w:pPr>
        <w:autoSpaceDE w:val="0"/>
        <w:autoSpaceDN w:val="0"/>
        <w:adjustRightInd w:val="0"/>
        <w:spacing w:line="360" w:lineRule="auto"/>
        <w:ind w:firstLine="480"/>
        <w:jc w:val="left"/>
        <w:rPr>
          <w:rFonts w:hint="eastAsia" w:ascii="宋体" w:hAnsi="宋体"/>
          <w:color w:val="000000"/>
          <w:sz w:val="24"/>
          <w:szCs w:val="18"/>
          <w:highlight w:val="none"/>
        </w:rPr>
      </w:pPr>
      <w:r>
        <w:rPr>
          <w:rFonts w:hint="eastAsia" w:ascii="宋体" w:hAnsi="宋体"/>
          <w:color w:val="000000"/>
          <w:sz w:val="24"/>
          <w:szCs w:val="18"/>
          <w:highlight w:val="none"/>
        </w:rPr>
        <w:t>本次股东大会由</w:t>
      </w:r>
      <w:r>
        <w:rPr>
          <w:rFonts w:hint="eastAsia" w:ascii="宋体" w:hAnsi="宋体"/>
          <w:color w:val="000000"/>
          <w:sz w:val="24"/>
          <w:szCs w:val="18"/>
          <w:highlight w:val="none"/>
          <w:lang w:val="en-US" w:eastAsia="zh-CN"/>
        </w:rPr>
        <w:t>浙江星韵</w:t>
      </w:r>
      <w:r>
        <w:rPr>
          <w:rFonts w:ascii="宋体" w:hAnsi="宋体"/>
          <w:color w:val="000000"/>
          <w:sz w:val="24"/>
          <w:szCs w:val="18"/>
          <w:highlight w:val="none"/>
        </w:rPr>
        <w:t>律师事务所</w:t>
      </w:r>
      <w:r>
        <w:rPr>
          <w:rFonts w:hint="eastAsia" w:ascii="宋体" w:hAnsi="宋体"/>
          <w:color w:val="000000"/>
          <w:sz w:val="24"/>
          <w:szCs w:val="18"/>
          <w:highlight w:val="none"/>
        </w:rPr>
        <w:t>律师进行</w:t>
      </w:r>
      <w:r>
        <w:rPr>
          <w:rFonts w:hint="eastAsia" w:ascii="宋体" w:hAnsi="宋体" w:eastAsia="宋体" w:cs="Times New Roman"/>
          <w:color w:val="000000"/>
          <w:sz w:val="24"/>
          <w:szCs w:val="18"/>
          <w:highlight w:val="none"/>
          <w:lang w:val="en-US" w:eastAsia="zh-CN"/>
        </w:rPr>
        <w:t>现场</w:t>
      </w:r>
      <w:r>
        <w:rPr>
          <w:rFonts w:hint="eastAsia" w:ascii="宋体" w:hAnsi="宋体" w:eastAsia="宋体" w:cs="Times New Roman"/>
          <w:color w:val="000000"/>
          <w:sz w:val="24"/>
          <w:szCs w:val="18"/>
          <w:highlight w:val="none"/>
        </w:rPr>
        <w:t>见证，并出具法律意见书，律师认为：</w:t>
      </w:r>
      <w:r>
        <w:rPr>
          <w:rFonts w:ascii="宋体" w:hAnsi="宋体" w:eastAsia="宋体" w:cs="Times New Roman"/>
          <w:color w:val="000000"/>
          <w:sz w:val="24"/>
          <w:szCs w:val="18"/>
          <w:highlight w:val="none"/>
        </w:rPr>
        <w:t>公司本次股东大会的召集、召开程序符合有</w:t>
      </w:r>
      <w:r>
        <w:rPr>
          <w:rFonts w:ascii="宋体" w:hAnsi="宋体"/>
          <w:color w:val="000000"/>
          <w:sz w:val="24"/>
          <w:szCs w:val="18"/>
          <w:highlight w:val="none"/>
        </w:rPr>
        <w:t>关法律、行政法规、《规则》及《公司章程》的规定；出席本次股东大会的人员资格、召集人资格合法、有效；本次股东大会的表决程序和表决结果合法、有效。</w:t>
      </w:r>
    </w:p>
    <w:p>
      <w:pPr>
        <w:autoSpaceDE w:val="0"/>
        <w:autoSpaceDN w:val="0"/>
        <w:adjustRightInd w:val="0"/>
        <w:spacing w:line="360" w:lineRule="auto"/>
        <w:ind w:firstLine="480"/>
        <w:jc w:val="left"/>
        <w:rPr>
          <w:rFonts w:hint="eastAsia" w:ascii="宋体" w:hAnsi="宋体"/>
          <w:b/>
          <w:color w:val="000000"/>
          <w:sz w:val="24"/>
          <w:szCs w:val="1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宋体" w:hAnsi="宋体"/>
          <w:b/>
          <w:color w:val="000000"/>
          <w:sz w:val="24"/>
          <w:szCs w:val="18"/>
          <w:highlight w:val="none"/>
        </w:rPr>
      </w:pPr>
      <w:r>
        <w:rPr>
          <w:rFonts w:hint="eastAsia" w:ascii="宋体" w:hAnsi="宋体"/>
          <w:b/>
          <w:color w:val="000000"/>
          <w:sz w:val="24"/>
          <w:szCs w:val="18"/>
          <w:highlight w:val="none"/>
        </w:rPr>
        <w:t>五、备查文件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  <w:szCs w:val="18"/>
          <w:highlight w:val="none"/>
        </w:rPr>
      </w:pPr>
      <w:r>
        <w:rPr>
          <w:rFonts w:hint="eastAsia" w:ascii="宋体" w:hAnsi="宋体"/>
          <w:color w:val="000000"/>
          <w:sz w:val="24"/>
          <w:szCs w:val="18"/>
          <w:highlight w:val="none"/>
        </w:rPr>
        <w:t>（一）《杭州初灵信息技术股份有限公</w:t>
      </w:r>
      <w:r>
        <w:rPr>
          <w:rFonts w:hint="eastAsia" w:ascii="宋体" w:hAnsi="宋体"/>
          <w:sz w:val="24"/>
          <w:highlight w:val="none"/>
        </w:rPr>
        <w:t>司</w:t>
      </w:r>
      <w:r>
        <w:rPr>
          <w:rFonts w:hint="eastAsia" w:ascii="宋体" w:hAnsi="宋体"/>
          <w:sz w:val="24"/>
          <w:highlight w:val="none"/>
          <w:lang w:eastAsia="zh-CN"/>
        </w:rPr>
        <w:t>2023年第二次临时股东</w:t>
      </w:r>
      <w:r>
        <w:rPr>
          <w:rFonts w:hint="eastAsia" w:ascii="宋体" w:hAnsi="宋体"/>
          <w:color w:val="000000"/>
          <w:sz w:val="24"/>
          <w:szCs w:val="18"/>
          <w:highlight w:val="none"/>
          <w:lang w:eastAsia="zh-CN"/>
        </w:rPr>
        <w:t>大会决议</w:t>
      </w:r>
      <w:r>
        <w:rPr>
          <w:rFonts w:hint="eastAsia" w:ascii="宋体" w:hAnsi="宋体"/>
          <w:color w:val="000000"/>
          <w:sz w:val="24"/>
          <w:szCs w:val="18"/>
          <w:highlight w:val="none"/>
        </w:rPr>
        <w:t>》；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/>
          <w:color w:val="000000"/>
          <w:sz w:val="24"/>
          <w:szCs w:val="18"/>
          <w:highlight w:val="none"/>
        </w:rPr>
      </w:pPr>
      <w:r>
        <w:rPr>
          <w:rFonts w:hint="eastAsia" w:ascii="宋体" w:hAnsi="宋体"/>
          <w:color w:val="000000"/>
          <w:sz w:val="24"/>
          <w:szCs w:val="18"/>
          <w:highlight w:val="none"/>
        </w:rPr>
        <w:t>（二）《</w:t>
      </w:r>
      <w:r>
        <w:rPr>
          <w:rFonts w:hint="eastAsia" w:ascii="宋体" w:hAnsi="宋体"/>
          <w:color w:val="000000"/>
          <w:sz w:val="24"/>
          <w:szCs w:val="18"/>
          <w:highlight w:val="none"/>
          <w:lang w:val="en-US" w:eastAsia="zh-CN"/>
        </w:rPr>
        <w:t>浙江星韵</w:t>
      </w:r>
      <w:r>
        <w:rPr>
          <w:rFonts w:ascii="宋体" w:hAnsi="宋体"/>
          <w:color w:val="000000"/>
          <w:sz w:val="24"/>
          <w:szCs w:val="18"/>
          <w:highlight w:val="none"/>
        </w:rPr>
        <w:t>律师事务所关于公司</w:t>
      </w:r>
      <w:r>
        <w:rPr>
          <w:rFonts w:hint="eastAsia" w:ascii="宋体" w:hAnsi="宋体"/>
          <w:color w:val="000000"/>
          <w:sz w:val="24"/>
          <w:szCs w:val="18"/>
          <w:highlight w:val="none"/>
          <w:lang w:eastAsia="zh-CN"/>
        </w:rPr>
        <w:t>2023年第二次临时股东大会</w:t>
      </w:r>
      <w:r>
        <w:rPr>
          <w:rFonts w:hint="eastAsia" w:ascii="宋体" w:hAnsi="宋体"/>
          <w:color w:val="000000"/>
          <w:sz w:val="24"/>
          <w:szCs w:val="18"/>
          <w:highlight w:val="none"/>
        </w:rPr>
        <w:t>的</w:t>
      </w:r>
      <w:r>
        <w:rPr>
          <w:rFonts w:ascii="宋体" w:hAnsi="宋体"/>
          <w:color w:val="000000"/>
          <w:sz w:val="24"/>
          <w:szCs w:val="18"/>
          <w:highlight w:val="none"/>
        </w:rPr>
        <w:t>法律意见书</w:t>
      </w:r>
      <w:r>
        <w:rPr>
          <w:rFonts w:hint="eastAsia" w:ascii="宋体" w:hAnsi="宋体"/>
          <w:color w:val="000000"/>
          <w:sz w:val="24"/>
          <w:szCs w:val="18"/>
          <w:highlight w:val="none"/>
        </w:rPr>
        <w:t>》。</w:t>
      </w:r>
    </w:p>
    <w:p>
      <w:pPr>
        <w:snapToGrid w:val="0"/>
        <w:spacing w:line="300" w:lineRule="auto"/>
        <w:rPr>
          <w:rFonts w:hint="eastAsia" w:ascii="宋体" w:hAnsi="宋体"/>
          <w:color w:val="000000"/>
          <w:sz w:val="24"/>
          <w:szCs w:val="18"/>
          <w:highlight w:val="none"/>
        </w:rPr>
      </w:pPr>
    </w:p>
    <w:p>
      <w:pPr>
        <w:snapToGrid w:val="0"/>
        <w:spacing w:line="30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特此</w:t>
      </w:r>
      <w:r>
        <w:rPr>
          <w:rFonts w:hint="eastAsia" w:ascii="宋体" w:hAnsi="宋体"/>
          <w:sz w:val="24"/>
          <w:highlight w:val="none"/>
        </w:rPr>
        <w:t>公告</w:t>
      </w:r>
      <w:r>
        <w:rPr>
          <w:rFonts w:ascii="宋体" w:hAnsi="宋体"/>
          <w:sz w:val="24"/>
          <w:highlight w:val="none"/>
        </w:rPr>
        <w:t>。</w:t>
      </w:r>
    </w:p>
    <w:p>
      <w:pPr>
        <w:snapToGrid w:val="0"/>
        <w:spacing w:line="300" w:lineRule="auto"/>
        <w:ind w:firstLine="480" w:firstLineChars="200"/>
        <w:rPr>
          <w:rFonts w:ascii="宋体" w:hAnsi="宋体"/>
          <w:sz w:val="24"/>
          <w:highlight w:val="none"/>
        </w:rPr>
      </w:pPr>
    </w:p>
    <w:p>
      <w:pPr>
        <w:snapToGrid w:val="0"/>
        <w:spacing w:line="300" w:lineRule="auto"/>
        <w:ind w:firstLine="480" w:firstLineChars="200"/>
        <w:rPr>
          <w:rFonts w:hint="eastAsia" w:ascii="宋体" w:hAnsi="宋体"/>
          <w:sz w:val="24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ind w:right="560"/>
        <w:jc w:val="right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杭州初灵信息技术股份有限公司</w:t>
      </w:r>
    </w:p>
    <w:p>
      <w:pPr>
        <w:autoSpaceDE w:val="0"/>
        <w:autoSpaceDN w:val="0"/>
        <w:adjustRightInd w:val="0"/>
        <w:spacing w:line="360" w:lineRule="auto"/>
        <w:ind w:right="1120" w:firstLine="5736" w:firstLineChars="2390"/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董事会</w:t>
      </w:r>
    </w:p>
    <w:p>
      <w:pPr>
        <w:autoSpaceDE w:val="0"/>
        <w:autoSpaceDN w:val="0"/>
        <w:adjustRightInd w:val="0"/>
        <w:spacing w:line="360" w:lineRule="auto"/>
        <w:ind w:right="1120" w:firstLine="5376" w:firstLineChars="2240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eastAsia="zh-CN"/>
        </w:rPr>
        <w:t>2023年12月28日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</w:p>
    <w:p>
      <w:pPr>
        <w:spacing w:line="360" w:lineRule="auto"/>
        <w:rPr>
          <w:rFonts w:hint="eastAsia" w:ascii="宋体" w:hAnsi="宋体"/>
          <w:sz w:val="24"/>
          <w:szCs w:val="24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ind w:right="112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                                               </w:t>
      </w:r>
    </w:p>
    <w:sectPr>
      <w:headerReference r:id="rId3" w:type="default"/>
      <w:footerReference r:id="rId4" w:type="even"/>
      <w:pgSz w:w="11906" w:h="16838"/>
      <w:pgMar w:top="1440" w:right="1758" w:bottom="1440" w:left="17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86C643"/>
    <w:multiLevelType w:val="singleLevel"/>
    <w:tmpl w:val="5E86C643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M2NjY2I1NzYzYzJhZjdhYTI4MmU0OGE1N2ZiN2QifQ=="/>
  </w:docVars>
  <w:rsids>
    <w:rsidRoot w:val="00172A27"/>
    <w:rsid w:val="0000167A"/>
    <w:rsid w:val="00012F26"/>
    <w:rsid w:val="00012F28"/>
    <w:rsid w:val="000136C0"/>
    <w:rsid w:val="000144A7"/>
    <w:rsid w:val="00014590"/>
    <w:rsid w:val="0001471D"/>
    <w:rsid w:val="0002235A"/>
    <w:rsid w:val="0002403E"/>
    <w:rsid w:val="00026AC6"/>
    <w:rsid w:val="0003478A"/>
    <w:rsid w:val="000408E7"/>
    <w:rsid w:val="00041BAC"/>
    <w:rsid w:val="00041E8F"/>
    <w:rsid w:val="000439EA"/>
    <w:rsid w:val="00043F24"/>
    <w:rsid w:val="00052658"/>
    <w:rsid w:val="00061E94"/>
    <w:rsid w:val="0006586C"/>
    <w:rsid w:val="00066E47"/>
    <w:rsid w:val="0006768D"/>
    <w:rsid w:val="00071219"/>
    <w:rsid w:val="0007296D"/>
    <w:rsid w:val="00073E60"/>
    <w:rsid w:val="000749D9"/>
    <w:rsid w:val="00077C72"/>
    <w:rsid w:val="00077EA2"/>
    <w:rsid w:val="000865CD"/>
    <w:rsid w:val="00094129"/>
    <w:rsid w:val="000964FE"/>
    <w:rsid w:val="000A0CC9"/>
    <w:rsid w:val="000A4E57"/>
    <w:rsid w:val="000B090F"/>
    <w:rsid w:val="000B0C20"/>
    <w:rsid w:val="000B6D6F"/>
    <w:rsid w:val="000B6EBD"/>
    <w:rsid w:val="000C6022"/>
    <w:rsid w:val="000C7561"/>
    <w:rsid w:val="000C7D28"/>
    <w:rsid w:val="000D0FD4"/>
    <w:rsid w:val="000D6384"/>
    <w:rsid w:val="000D6425"/>
    <w:rsid w:val="000E4F53"/>
    <w:rsid w:val="000F12CA"/>
    <w:rsid w:val="000F168F"/>
    <w:rsid w:val="000F1B4E"/>
    <w:rsid w:val="000F43DB"/>
    <w:rsid w:val="00104CE8"/>
    <w:rsid w:val="001066B7"/>
    <w:rsid w:val="00112F30"/>
    <w:rsid w:val="00121DB8"/>
    <w:rsid w:val="00126369"/>
    <w:rsid w:val="00127463"/>
    <w:rsid w:val="0013403A"/>
    <w:rsid w:val="00134E4D"/>
    <w:rsid w:val="00151363"/>
    <w:rsid w:val="00151F10"/>
    <w:rsid w:val="0015410E"/>
    <w:rsid w:val="001561F6"/>
    <w:rsid w:val="00160BCE"/>
    <w:rsid w:val="00165680"/>
    <w:rsid w:val="00170AA6"/>
    <w:rsid w:val="00170AC9"/>
    <w:rsid w:val="00170F45"/>
    <w:rsid w:val="00173838"/>
    <w:rsid w:val="00176F96"/>
    <w:rsid w:val="00190F49"/>
    <w:rsid w:val="001972DF"/>
    <w:rsid w:val="001A14D2"/>
    <w:rsid w:val="001A266D"/>
    <w:rsid w:val="001A3078"/>
    <w:rsid w:val="001A50B7"/>
    <w:rsid w:val="001C0E31"/>
    <w:rsid w:val="001C3459"/>
    <w:rsid w:val="001C372B"/>
    <w:rsid w:val="001C3FFA"/>
    <w:rsid w:val="001C5811"/>
    <w:rsid w:val="001E141E"/>
    <w:rsid w:val="001E2D97"/>
    <w:rsid w:val="001F076D"/>
    <w:rsid w:val="001F2F89"/>
    <w:rsid w:val="001F3DE1"/>
    <w:rsid w:val="001F61A7"/>
    <w:rsid w:val="001F71C6"/>
    <w:rsid w:val="00202D96"/>
    <w:rsid w:val="00210AE1"/>
    <w:rsid w:val="002121B8"/>
    <w:rsid w:val="00216676"/>
    <w:rsid w:val="002170E3"/>
    <w:rsid w:val="00217115"/>
    <w:rsid w:val="00221774"/>
    <w:rsid w:val="00224107"/>
    <w:rsid w:val="002318AE"/>
    <w:rsid w:val="002322EA"/>
    <w:rsid w:val="002356A3"/>
    <w:rsid w:val="0024318D"/>
    <w:rsid w:val="002444D3"/>
    <w:rsid w:val="00245AF9"/>
    <w:rsid w:val="002475F4"/>
    <w:rsid w:val="00247EA9"/>
    <w:rsid w:val="00251040"/>
    <w:rsid w:val="002631AF"/>
    <w:rsid w:val="00266817"/>
    <w:rsid w:val="0026791C"/>
    <w:rsid w:val="00273834"/>
    <w:rsid w:val="00274678"/>
    <w:rsid w:val="00277555"/>
    <w:rsid w:val="00282011"/>
    <w:rsid w:val="002929AE"/>
    <w:rsid w:val="0029324A"/>
    <w:rsid w:val="002949AB"/>
    <w:rsid w:val="00295781"/>
    <w:rsid w:val="002A117D"/>
    <w:rsid w:val="002A6B4A"/>
    <w:rsid w:val="002A7D26"/>
    <w:rsid w:val="002B3C9B"/>
    <w:rsid w:val="002B68DA"/>
    <w:rsid w:val="002B75A6"/>
    <w:rsid w:val="002C1824"/>
    <w:rsid w:val="002C2557"/>
    <w:rsid w:val="002C6366"/>
    <w:rsid w:val="002C756C"/>
    <w:rsid w:val="002E028C"/>
    <w:rsid w:val="002E1432"/>
    <w:rsid w:val="002E1BC4"/>
    <w:rsid w:val="002E497E"/>
    <w:rsid w:val="002E759D"/>
    <w:rsid w:val="002F1271"/>
    <w:rsid w:val="002F1573"/>
    <w:rsid w:val="002F6AA8"/>
    <w:rsid w:val="00307C57"/>
    <w:rsid w:val="00317F1A"/>
    <w:rsid w:val="00326EBA"/>
    <w:rsid w:val="00331E62"/>
    <w:rsid w:val="003341E4"/>
    <w:rsid w:val="00336B19"/>
    <w:rsid w:val="00337FF5"/>
    <w:rsid w:val="00340280"/>
    <w:rsid w:val="00341EFF"/>
    <w:rsid w:val="00347CA1"/>
    <w:rsid w:val="00347D28"/>
    <w:rsid w:val="0035120C"/>
    <w:rsid w:val="00355A36"/>
    <w:rsid w:val="003609C2"/>
    <w:rsid w:val="0036215C"/>
    <w:rsid w:val="003769E4"/>
    <w:rsid w:val="00381B38"/>
    <w:rsid w:val="00394920"/>
    <w:rsid w:val="003A0202"/>
    <w:rsid w:val="003A596B"/>
    <w:rsid w:val="003B069E"/>
    <w:rsid w:val="003B323B"/>
    <w:rsid w:val="003B648A"/>
    <w:rsid w:val="003B7848"/>
    <w:rsid w:val="003C1E5B"/>
    <w:rsid w:val="003D5EDB"/>
    <w:rsid w:val="003D6367"/>
    <w:rsid w:val="003F3BEC"/>
    <w:rsid w:val="003F3DA0"/>
    <w:rsid w:val="003F441A"/>
    <w:rsid w:val="0040574D"/>
    <w:rsid w:val="004144CF"/>
    <w:rsid w:val="00422295"/>
    <w:rsid w:val="00427837"/>
    <w:rsid w:val="00431631"/>
    <w:rsid w:val="004348D0"/>
    <w:rsid w:val="00440800"/>
    <w:rsid w:val="00442EDB"/>
    <w:rsid w:val="0044462B"/>
    <w:rsid w:val="004552D2"/>
    <w:rsid w:val="004602AA"/>
    <w:rsid w:val="00460E61"/>
    <w:rsid w:val="00462849"/>
    <w:rsid w:val="004809E8"/>
    <w:rsid w:val="00485835"/>
    <w:rsid w:val="00491279"/>
    <w:rsid w:val="00493A71"/>
    <w:rsid w:val="004A1331"/>
    <w:rsid w:val="004B2C69"/>
    <w:rsid w:val="004B4AD9"/>
    <w:rsid w:val="004B65A2"/>
    <w:rsid w:val="004D1BE3"/>
    <w:rsid w:val="004D328A"/>
    <w:rsid w:val="004D4DEA"/>
    <w:rsid w:val="004E066F"/>
    <w:rsid w:val="004E3721"/>
    <w:rsid w:val="004F2C39"/>
    <w:rsid w:val="004F485E"/>
    <w:rsid w:val="004F7BFE"/>
    <w:rsid w:val="005039DF"/>
    <w:rsid w:val="00506D62"/>
    <w:rsid w:val="00511FC1"/>
    <w:rsid w:val="00513673"/>
    <w:rsid w:val="00514983"/>
    <w:rsid w:val="00520E09"/>
    <w:rsid w:val="00531E40"/>
    <w:rsid w:val="0053298A"/>
    <w:rsid w:val="00533FEA"/>
    <w:rsid w:val="00536352"/>
    <w:rsid w:val="0054039E"/>
    <w:rsid w:val="005428A9"/>
    <w:rsid w:val="00544DA7"/>
    <w:rsid w:val="00550792"/>
    <w:rsid w:val="00553E84"/>
    <w:rsid w:val="00566462"/>
    <w:rsid w:val="005708B5"/>
    <w:rsid w:val="00571B80"/>
    <w:rsid w:val="00574610"/>
    <w:rsid w:val="00575D6C"/>
    <w:rsid w:val="00577CB4"/>
    <w:rsid w:val="00581CE8"/>
    <w:rsid w:val="005847CB"/>
    <w:rsid w:val="00591D09"/>
    <w:rsid w:val="00592AB5"/>
    <w:rsid w:val="00593E3F"/>
    <w:rsid w:val="00594C55"/>
    <w:rsid w:val="005976D9"/>
    <w:rsid w:val="005A177C"/>
    <w:rsid w:val="005A37A5"/>
    <w:rsid w:val="005A61C2"/>
    <w:rsid w:val="005B6859"/>
    <w:rsid w:val="005C04FD"/>
    <w:rsid w:val="005D0157"/>
    <w:rsid w:val="005D705A"/>
    <w:rsid w:val="005D7AD5"/>
    <w:rsid w:val="005E1B57"/>
    <w:rsid w:val="005E25A2"/>
    <w:rsid w:val="005E534C"/>
    <w:rsid w:val="005E787D"/>
    <w:rsid w:val="005F372C"/>
    <w:rsid w:val="005F7666"/>
    <w:rsid w:val="00600B86"/>
    <w:rsid w:val="00605292"/>
    <w:rsid w:val="00607AE9"/>
    <w:rsid w:val="0061340A"/>
    <w:rsid w:val="006145E4"/>
    <w:rsid w:val="00617B65"/>
    <w:rsid w:val="00624DC8"/>
    <w:rsid w:val="00627D9D"/>
    <w:rsid w:val="0063124F"/>
    <w:rsid w:val="006345DC"/>
    <w:rsid w:val="0064324C"/>
    <w:rsid w:val="0064383A"/>
    <w:rsid w:val="006446F7"/>
    <w:rsid w:val="00645746"/>
    <w:rsid w:val="00650ACE"/>
    <w:rsid w:val="00652ADE"/>
    <w:rsid w:val="00655735"/>
    <w:rsid w:val="0065795B"/>
    <w:rsid w:val="006656B7"/>
    <w:rsid w:val="00677298"/>
    <w:rsid w:val="00686EC0"/>
    <w:rsid w:val="006911D4"/>
    <w:rsid w:val="0069357D"/>
    <w:rsid w:val="00693E1E"/>
    <w:rsid w:val="00694518"/>
    <w:rsid w:val="006A20E6"/>
    <w:rsid w:val="006A325F"/>
    <w:rsid w:val="006B6BC1"/>
    <w:rsid w:val="006C1ACE"/>
    <w:rsid w:val="006D3F15"/>
    <w:rsid w:val="006D4963"/>
    <w:rsid w:val="006D4A8A"/>
    <w:rsid w:val="006E1A3A"/>
    <w:rsid w:val="006E7C55"/>
    <w:rsid w:val="006F5D8B"/>
    <w:rsid w:val="006F6018"/>
    <w:rsid w:val="00706302"/>
    <w:rsid w:val="00712AAF"/>
    <w:rsid w:val="00714509"/>
    <w:rsid w:val="007201FF"/>
    <w:rsid w:val="007228C9"/>
    <w:rsid w:val="00726926"/>
    <w:rsid w:val="007339E0"/>
    <w:rsid w:val="00734229"/>
    <w:rsid w:val="0074565B"/>
    <w:rsid w:val="00746BBB"/>
    <w:rsid w:val="00747535"/>
    <w:rsid w:val="00752E36"/>
    <w:rsid w:val="00754EF0"/>
    <w:rsid w:val="0075606D"/>
    <w:rsid w:val="00757896"/>
    <w:rsid w:val="007632BB"/>
    <w:rsid w:val="0076674F"/>
    <w:rsid w:val="00770E41"/>
    <w:rsid w:val="0077329A"/>
    <w:rsid w:val="00774666"/>
    <w:rsid w:val="0077777C"/>
    <w:rsid w:val="00781838"/>
    <w:rsid w:val="007825B3"/>
    <w:rsid w:val="007866C6"/>
    <w:rsid w:val="007972E7"/>
    <w:rsid w:val="00797969"/>
    <w:rsid w:val="007A31E4"/>
    <w:rsid w:val="007A3A44"/>
    <w:rsid w:val="007B247C"/>
    <w:rsid w:val="007C1B50"/>
    <w:rsid w:val="007C730E"/>
    <w:rsid w:val="007D145D"/>
    <w:rsid w:val="007D1883"/>
    <w:rsid w:val="007E1271"/>
    <w:rsid w:val="007E38BC"/>
    <w:rsid w:val="007F2E9B"/>
    <w:rsid w:val="00801314"/>
    <w:rsid w:val="00816D4D"/>
    <w:rsid w:val="008255E4"/>
    <w:rsid w:val="00827E91"/>
    <w:rsid w:val="00831674"/>
    <w:rsid w:val="008326CD"/>
    <w:rsid w:val="00836565"/>
    <w:rsid w:val="0083785B"/>
    <w:rsid w:val="008433C1"/>
    <w:rsid w:val="00843650"/>
    <w:rsid w:val="008515F1"/>
    <w:rsid w:val="00852734"/>
    <w:rsid w:val="0087068C"/>
    <w:rsid w:val="00871952"/>
    <w:rsid w:val="00872E45"/>
    <w:rsid w:val="00876543"/>
    <w:rsid w:val="00876E12"/>
    <w:rsid w:val="00876E4F"/>
    <w:rsid w:val="00880AE4"/>
    <w:rsid w:val="0088171F"/>
    <w:rsid w:val="00883328"/>
    <w:rsid w:val="008876F7"/>
    <w:rsid w:val="008A2F1F"/>
    <w:rsid w:val="008A4282"/>
    <w:rsid w:val="008A5AAE"/>
    <w:rsid w:val="008A6B64"/>
    <w:rsid w:val="008C3F06"/>
    <w:rsid w:val="008C5ABE"/>
    <w:rsid w:val="008C6ED0"/>
    <w:rsid w:val="008D5F5C"/>
    <w:rsid w:val="008E3741"/>
    <w:rsid w:val="008E7870"/>
    <w:rsid w:val="008F07D6"/>
    <w:rsid w:val="008F09AC"/>
    <w:rsid w:val="008F2F40"/>
    <w:rsid w:val="008F3C05"/>
    <w:rsid w:val="00900C2B"/>
    <w:rsid w:val="00900E60"/>
    <w:rsid w:val="00905AA1"/>
    <w:rsid w:val="00907D44"/>
    <w:rsid w:val="009177A6"/>
    <w:rsid w:val="00922492"/>
    <w:rsid w:val="00923656"/>
    <w:rsid w:val="0092538D"/>
    <w:rsid w:val="00926313"/>
    <w:rsid w:val="00932E8F"/>
    <w:rsid w:val="00936166"/>
    <w:rsid w:val="009474B8"/>
    <w:rsid w:val="00947AF9"/>
    <w:rsid w:val="0095668E"/>
    <w:rsid w:val="00966BD7"/>
    <w:rsid w:val="00981DD9"/>
    <w:rsid w:val="00982C5C"/>
    <w:rsid w:val="00983BC3"/>
    <w:rsid w:val="009866C6"/>
    <w:rsid w:val="00993223"/>
    <w:rsid w:val="009953BB"/>
    <w:rsid w:val="009A4B8D"/>
    <w:rsid w:val="009A5ECF"/>
    <w:rsid w:val="009B18D9"/>
    <w:rsid w:val="009B7DDD"/>
    <w:rsid w:val="009D5703"/>
    <w:rsid w:val="009D60C8"/>
    <w:rsid w:val="009E1E2E"/>
    <w:rsid w:val="009E4CF2"/>
    <w:rsid w:val="009F2D05"/>
    <w:rsid w:val="00A0240C"/>
    <w:rsid w:val="00A10A3A"/>
    <w:rsid w:val="00A10FCD"/>
    <w:rsid w:val="00A32CFD"/>
    <w:rsid w:val="00A42D8B"/>
    <w:rsid w:val="00A5337B"/>
    <w:rsid w:val="00A605D9"/>
    <w:rsid w:val="00A613D5"/>
    <w:rsid w:val="00A63FDD"/>
    <w:rsid w:val="00A741A2"/>
    <w:rsid w:val="00A74A31"/>
    <w:rsid w:val="00A772CC"/>
    <w:rsid w:val="00A832CA"/>
    <w:rsid w:val="00A93BCD"/>
    <w:rsid w:val="00A93E85"/>
    <w:rsid w:val="00A96092"/>
    <w:rsid w:val="00AB1449"/>
    <w:rsid w:val="00AB3CAD"/>
    <w:rsid w:val="00AB464C"/>
    <w:rsid w:val="00AD590C"/>
    <w:rsid w:val="00AD61EB"/>
    <w:rsid w:val="00AE234E"/>
    <w:rsid w:val="00AE28B8"/>
    <w:rsid w:val="00AE4539"/>
    <w:rsid w:val="00AE4753"/>
    <w:rsid w:val="00AE4827"/>
    <w:rsid w:val="00AE4F82"/>
    <w:rsid w:val="00AF0FA6"/>
    <w:rsid w:val="00AF7C0C"/>
    <w:rsid w:val="00B03A9A"/>
    <w:rsid w:val="00B2028D"/>
    <w:rsid w:val="00B25E89"/>
    <w:rsid w:val="00B27E12"/>
    <w:rsid w:val="00B34133"/>
    <w:rsid w:val="00B3460F"/>
    <w:rsid w:val="00B362AE"/>
    <w:rsid w:val="00B37F1D"/>
    <w:rsid w:val="00B40973"/>
    <w:rsid w:val="00B4469D"/>
    <w:rsid w:val="00B44F2D"/>
    <w:rsid w:val="00B509B3"/>
    <w:rsid w:val="00B551D3"/>
    <w:rsid w:val="00B655BB"/>
    <w:rsid w:val="00B6764E"/>
    <w:rsid w:val="00B74536"/>
    <w:rsid w:val="00B76DD8"/>
    <w:rsid w:val="00B77E97"/>
    <w:rsid w:val="00B81337"/>
    <w:rsid w:val="00B81630"/>
    <w:rsid w:val="00B8184B"/>
    <w:rsid w:val="00B84703"/>
    <w:rsid w:val="00B86553"/>
    <w:rsid w:val="00B90285"/>
    <w:rsid w:val="00BA12F5"/>
    <w:rsid w:val="00BB32B9"/>
    <w:rsid w:val="00BB3E9C"/>
    <w:rsid w:val="00BB4A81"/>
    <w:rsid w:val="00BB7385"/>
    <w:rsid w:val="00BC7CC9"/>
    <w:rsid w:val="00BD3259"/>
    <w:rsid w:val="00BE0AF4"/>
    <w:rsid w:val="00BE1D46"/>
    <w:rsid w:val="00BF0E50"/>
    <w:rsid w:val="00BF1F6E"/>
    <w:rsid w:val="00BF381D"/>
    <w:rsid w:val="00BF4256"/>
    <w:rsid w:val="00BF5094"/>
    <w:rsid w:val="00BF7A3E"/>
    <w:rsid w:val="00C0099A"/>
    <w:rsid w:val="00C035B2"/>
    <w:rsid w:val="00C10C3F"/>
    <w:rsid w:val="00C10D60"/>
    <w:rsid w:val="00C10FA3"/>
    <w:rsid w:val="00C130D2"/>
    <w:rsid w:val="00C3601A"/>
    <w:rsid w:val="00C41987"/>
    <w:rsid w:val="00C42184"/>
    <w:rsid w:val="00C44B2D"/>
    <w:rsid w:val="00C44E61"/>
    <w:rsid w:val="00C53D42"/>
    <w:rsid w:val="00C61F7E"/>
    <w:rsid w:val="00C64B3A"/>
    <w:rsid w:val="00C67AF3"/>
    <w:rsid w:val="00C707B7"/>
    <w:rsid w:val="00C70A36"/>
    <w:rsid w:val="00C7149C"/>
    <w:rsid w:val="00C733D2"/>
    <w:rsid w:val="00C77B4E"/>
    <w:rsid w:val="00C81542"/>
    <w:rsid w:val="00C81C72"/>
    <w:rsid w:val="00C8799B"/>
    <w:rsid w:val="00C96F07"/>
    <w:rsid w:val="00CA3D8D"/>
    <w:rsid w:val="00CB2204"/>
    <w:rsid w:val="00CB313A"/>
    <w:rsid w:val="00CB4210"/>
    <w:rsid w:val="00CB5A89"/>
    <w:rsid w:val="00CC36BF"/>
    <w:rsid w:val="00CC5352"/>
    <w:rsid w:val="00CD56FF"/>
    <w:rsid w:val="00CD5FA4"/>
    <w:rsid w:val="00CF0D7C"/>
    <w:rsid w:val="00CF6318"/>
    <w:rsid w:val="00D00A64"/>
    <w:rsid w:val="00D00F6B"/>
    <w:rsid w:val="00D01481"/>
    <w:rsid w:val="00D07D0B"/>
    <w:rsid w:val="00D15542"/>
    <w:rsid w:val="00D24652"/>
    <w:rsid w:val="00D2468A"/>
    <w:rsid w:val="00D24976"/>
    <w:rsid w:val="00D32133"/>
    <w:rsid w:val="00D338DA"/>
    <w:rsid w:val="00D44ACB"/>
    <w:rsid w:val="00D4593F"/>
    <w:rsid w:val="00D46D88"/>
    <w:rsid w:val="00D47D63"/>
    <w:rsid w:val="00D52D50"/>
    <w:rsid w:val="00D53933"/>
    <w:rsid w:val="00D542E4"/>
    <w:rsid w:val="00D54DDD"/>
    <w:rsid w:val="00D56DDC"/>
    <w:rsid w:val="00D578D7"/>
    <w:rsid w:val="00D60341"/>
    <w:rsid w:val="00D61023"/>
    <w:rsid w:val="00D62FCA"/>
    <w:rsid w:val="00D631E3"/>
    <w:rsid w:val="00D6463D"/>
    <w:rsid w:val="00D65967"/>
    <w:rsid w:val="00D679A4"/>
    <w:rsid w:val="00D969CB"/>
    <w:rsid w:val="00DA06B0"/>
    <w:rsid w:val="00DA205D"/>
    <w:rsid w:val="00DA27B6"/>
    <w:rsid w:val="00DA5CE2"/>
    <w:rsid w:val="00DA6218"/>
    <w:rsid w:val="00DA78DB"/>
    <w:rsid w:val="00DB5B44"/>
    <w:rsid w:val="00DC26BF"/>
    <w:rsid w:val="00DC4F11"/>
    <w:rsid w:val="00DE15F5"/>
    <w:rsid w:val="00DE249E"/>
    <w:rsid w:val="00DE3FE0"/>
    <w:rsid w:val="00DF0895"/>
    <w:rsid w:val="00DF1324"/>
    <w:rsid w:val="00DF2646"/>
    <w:rsid w:val="00DF6FE1"/>
    <w:rsid w:val="00DF730D"/>
    <w:rsid w:val="00DF7DCE"/>
    <w:rsid w:val="00E03588"/>
    <w:rsid w:val="00E059AA"/>
    <w:rsid w:val="00E05F17"/>
    <w:rsid w:val="00E12768"/>
    <w:rsid w:val="00E35E81"/>
    <w:rsid w:val="00E4099E"/>
    <w:rsid w:val="00E42495"/>
    <w:rsid w:val="00E50C7D"/>
    <w:rsid w:val="00E5104E"/>
    <w:rsid w:val="00E5217B"/>
    <w:rsid w:val="00E55FFA"/>
    <w:rsid w:val="00E56C59"/>
    <w:rsid w:val="00E60074"/>
    <w:rsid w:val="00E64FFF"/>
    <w:rsid w:val="00E65851"/>
    <w:rsid w:val="00E72955"/>
    <w:rsid w:val="00E74F8E"/>
    <w:rsid w:val="00E75FD0"/>
    <w:rsid w:val="00E85C57"/>
    <w:rsid w:val="00E87150"/>
    <w:rsid w:val="00E90AA8"/>
    <w:rsid w:val="00E91908"/>
    <w:rsid w:val="00E94470"/>
    <w:rsid w:val="00E979B8"/>
    <w:rsid w:val="00EA0314"/>
    <w:rsid w:val="00EA1682"/>
    <w:rsid w:val="00EA23A8"/>
    <w:rsid w:val="00EA41BE"/>
    <w:rsid w:val="00EA5739"/>
    <w:rsid w:val="00EA6C8B"/>
    <w:rsid w:val="00EA744D"/>
    <w:rsid w:val="00EA75AF"/>
    <w:rsid w:val="00EB736E"/>
    <w:rsid w:val="00EB7E6C"/>
    <w:rsid w:val="00EC24A0"/>
    <w:rsid w:val="00EC2EFA"/>
    <w:rsid w:val="00EC6A25"/>
    <w:rsid w:val="00ED145E"/>
    <w:rsid w:val="00ED1EEB"/>
    <w:rsid w:val="00EE012B"/>
    <w:rsid w:val="00EE2DA4"/>
    <w:rsid w:val="00EE4ECA"/>
    <w:rsid w:val="00EF24E9"/>
    <w:rsid w:val="00F033BB"/>
    <w:rsid w:val="00F047CC"/>
    <w:rsid w:val="00F07FF0"/>
    <w:rsid w:val="00F161DB"/>
    <w:rsid w:val="00F17CCE"/>
    <w:rsid w:val="00F22B82"/>
    <w:rsid w:val="00F3199A"/>
    <w:rsid w:val="00F40B97"/>
    <w:rsid w:val="00F43086"/>
    <w:rsid w:val="00F45EB8"/>
    <w:rsid w:val="00F51241"/>
    <w:rsid w:val="00F563D4"/>
    <w:rsid w:val="00F704B7"/>
    <w:rsid w:val="00F71A14"/>
    <w:rsid w:val="00F758FF"/>
    <w:rsid w:val="00F84436"/>
    <w:rsid w:val="00F871CA"/>
    <w:rsid w:val="00FA599F"/>
    <w:rsid w:val="00FA6CA2"/>
    <w:rsid w:val="00FB0459"/>
    <w:rsid w:val="00FC24C9"/>
    <w:rsid w:val="00FC5DA7"/>
    <w:rsid w:val="00FD1C5F"/>
    <w:rsid w:val="00FD4810"/>
    <w:rsid w:val="00FD5E1E"/>
    <w:rsid w:val="00FE3208"/>
    <w:rsid w:val="00FF425B"/>
    <w:rsid w:val="00FF5AE1"/>
    <w:rsid w:val="00FF6D5E"/>
    <w:rsid w:val="01510F5A"/>
    <w:rsid w:val="03CF1524"/>
    <w:rsid w:val="044B54FE"/>
    <w:rsid w:val="06A95DF8"/>
    <w:rsid w:val="09C93CBC"/>
    <w:rsid w:val="0D671F88"/>
    <w:rsid w:val="1508629E"/>
    <w:rsid w:val="1FF9142D"/>
    <w:rsid w:val="22C36B45"/>
    <w:rsid w:val="24427D2C"/>
    <w:rsid w:val="29FF4A9C"/>
    <w:rsid w:val="2CBD6166"/>
    <w:rsid w:val="2D2B2ED1"/>
    <w:rsid w:val="2DD309F5"/>
    <w:rsid w:val="2F073F52"/>
    <w:rsid w:val="2F26637D"/>
    <w:rsid w:val="3784426E"/>
    <w:rsid w:val="3BAA3F4C"/>
    <w:rsid w:val="3F24169F"/>
    <w:rsid w:val="41E35886"/>
    <w:rsid w:val="428476B4"/>
    <w:rsid w:val="42B33A85"/>
    <w:rsid w:val="44624381"/>
    <w:rsid w:val="463F74D4"/>
    <w:rsid w:val="466F2FCA"/>
    <w:rsid w:val="4C273A5A"/>
    <w:rsid w:val="4E6465FA"/>
    <w:rsid w:val="543C3DD0"/>
    <w:rsid w:val="544713DC"/>
    <w:rsid w:val="54880012"/>
    <w:rsid w:val="55057BFF"/>
    <w:rsid w:val="56BC5926"/>
    <w:rsid w:val="56D74F0A"/>
    <w:rsid w:val="58170B5A"/>
    <w:rsid w:val="5DC83BFC"/>
    <w:rsid w:val="61F1110B"/>
    <w:rsid w:val="62D92E38"/>
    <w:rsid w:val="6B962B87"/>
    <w:rsid w:val="6F573FAB"/>
    <w:rsid w:val="71CD4417"/>
    <w:rsid w:val="73267821"/>
    <w:rsid w:val="77DE6C02"/>
    <w:rsid w:val="78963A07"/>
    <w:rsid w:val="7D092C7F"/>
    <w:rsid w:val="7D4D12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autoRedefine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link w:val="15"/>
    <w:autoRedefine/>
    <w:qFormat/>
    <w:uiPriority w:val="0"/>
    <w:pPr>
      <w:spacing w:after="120" w:afterLines="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5">
    <w:name w:val="Balloon Text"/>
    <w:basedOn w:val="1"/>
    <w:link w:val="16"/>
    <w:autoRedefine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annotation subject"/>
    <w:basedOn w:val="2"/>
    <w:next w:val="2"/>
    <w:link w:val="19"/>
    <w:autoRedefine/>
    <w:unhideWhenUsed/>
    <w:qFormat/>
    <w:uiPriority w:val="99"/>
    <w:rPr>
      <w:b/>
      <w:bCs/>
    </w:rPr>
  </w:style>
  <w:style w:type="character" w:styleId="11">
    <w:name w:val="page number"/>
    <w:basedOn w:val="10"/>
    <w:autoRedefine/>
    <w:qFormat/>
    <w:uiPriority w:val="0"/>
  </w:style>
  <w:style w:type="character" w:styleId="12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13">
    <w:name w:val="批注文字 Char"/>
    <w:link w:val="2"/>
    <w:autoRedefine/>
    <w:semiHidden/>
    <w:qFormat/>
    <w:uiPriority w:val="99"/>
    <w:rPr>
      <w:rFonts w:ascii="Times New Roman" w:hAnsi="Times New Roman"/>
      <w:kern w:val="2"/>
      <w:sz w:val="21"/>
    </w:rPr>
  </w:style>
  <w:style w:type="character" w:customStyle="1" w:styleId="14">
    <w:name w:val="日期 Char"/>
    <w:link w:val="3"/>
    <w:autoRedefine/>
    <w:semiHidden/>
    <w:qFormat/>
    <w:uiPriority w:val="99"/>
    <w:rPr>
      <w:rFonts w:ascii="Times New Roman" w:hAnsi="Times New Roman"/>
      <w:kern w:val="2"/>
      <w:sz w:val="21"/>
    </w:rPr>
  </w:style>
  <w:style w:type="character" w:customStyle="1" w:styleId="15">
    <w:name w:val="正文文本缩进 2 Char"/>
    <w:link w:val="4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6">
    <w:name w:val="批注框文本 Char"/>
    <w:link w:val="5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7">
    <w:name w:val="页脚 Char"/>
    <w:link w:val="6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眉 Char"/>
    <w:link w:val="7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主题 Char"/>
    <w:link w:val="8"/>
    <w:autoRedefine/>
    <w:semiHidden/>
    <w:qFormat/>
    <w:uiPriority w:val="99"/>
    <w:rPr>
      <w:rFonts w:ascii="Times New Roman" w:hAnsi="Times New Roman"/>
      <w:b/>
      <w:bCs/>
      <w:kern w:val="2"/>
      <w:sz w:val="21"/>
    </w:rPr>
  </w:style>
  <w:style w:type="paragraph" w:customStyle="1" w:styleId="20">
    <w:name w:val="Default"/>
    <w:autoRedefine/>
    <w:qFormat/>
    <w:uiPriority w:val="0"/>
    <w:pPr>
      <w:widowControl w:val="0"/>
      <w:autoSpaceDE w:val="0"/>
      <w:autoSpaceDN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21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5146</Words>
  <Characters>6372</Characters>
  <Lines>23</Lines>
  <Paragraphs>6</Paragraphs>
  <TotalTime>1</TotalTime>
  <ScaleCrop>false</ScaleCrop>
  <LinksUpToDate>false</LinksUpToDate>
  <CharactersWithSpaces>6499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2015-11-05T07:56:00Z</dcterms:created>
  <dc:creator>User</dc:creator>
  <cp:lastModifiedBy>会飞的猫</cp:lastModifiedBy>
  <cp:lastPrinted>2023-05-18T08:44:00Z</cp:lastPrinted>
  <dcterms:modified xsi:type="dcterms:W3CDTF">2023-12-28T08:03:50Z</dcterms:modified>
  <dc:title>证券代码：300250    证券简称：初灵信息	   公告编号：2012-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A5EF87868CA84B398C402628531A86B3_13</vt:lpwstr>
  </property>
</Properties>
</file>