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ind w:left="0" w:leftChars="0"/>
        <w:rPr>
          <w:rFonts w:hint="eastAsia" w:ascii="宋体" w:hAnsi="宋体" w:eastAsia="宋体"/>
          <w:sz w:val="28"/>
          <w:szCs w:val="28"/>
          <w:lang w:eastAsia="zh-CN"/>
        </w:rPr>
      </w:pPr>
      <w:bookmarkStart w:id="0" w:name="_GoBack"/>
      <w:bookmarkEnd w:id="0"/>
      <w:r>
        <w:rPr>
          <w:rFonts w:hint="eastAsia" w:ascii="宋体" w:hAnsi="宋体"/>
          <w:sz w:val="28"/>
          <w:szCs w:val="28"/>
        </w:rPr>
        <w:t>证券代码：300250   证券简称：初灵信息</w:t>
      </w:r>
      <w:r>
        <w:rPr>
          <w:rFonts w:hint="eastAsia" w:ascii="宋体" w:hAnsi="宋体"/>
          <w:sz w:val="28"/>
          <w:szCs w:val="28"/>
        </w:rPr>
        <w:tab/>
      </w:r>
      <w:r>
        <w:rPr>
          <w:rFonts w:hint="eastAsia" w:ascii="宋体" w:hAnsi="宋体"/>
          <w:sz w:val="28"/>
          <w:szCs w:val="28"/>
        </w:rPr>
        <w:t xml:space="preserve"> 公告编号：202</w:t>
      </w:r>
      <w:r>
        <w:rPr>
          <w:rFonts w:hint="eastAsia" w:ascii="宋体" w:hAnsi="宋体"/>
          <w:sz w:val="28"/>
          <w:szCs w:val="28"/>
          <w:lang w:val="en-US" w:eastAsia="zh-CN"/>
        </w:rPr>
        <w:t>4</w:t>
      </w:r>
      <w:r>
        <w:rPr>
          <w:rFonts w:hint="eastAsia" w:ascii="宋体" w:hAnsi="宋体"/>
          <w:sz w:val="28"/>
          <w:szCs w:val="28"/>
        </w:rPr>
        <w:t>-00</w:t>
      </w:r>
      <w:r>
        <w:rPr>
          <w:rFonts w:hint="eastAsia" w:ascii="宋体" w:hAnsi="宋体"/>
          <w:sz w:val="28"/>
          <w:szCs w:val="28"/>
          <w:lang w:val="en-US" w:eastAsia="zh-CN"/>
        </w:rPr>
        <w:t>8</w:t>
      </w:r>
    </w:p>
    <w:p>
      <w:pPr>
        <w:spacing w:line="360" w:lineRule="auto"/>
        <w:rPr>
          <w:rFonts w:hint="eastAsia" w:ascii="黑体" w:eastAsia="黑体"/>
          <w:sz w:val="32"/>
          <w:szCs w:val="32"/>
        </w:rPr>
      </w:pPr>
    </w:p>
    <w:p>
      <w:pPr>
        <w:jc w:val="center"/>
        <w:rPr>
          <w:rFonts w:ascii="宋体" w:hAnsi="宋体"/>
          <w:b/>
          <w:sz w:val="32"/>
          <w:szCs w:val="32"/>
        </w:rPr>
      </w:pPr>
      <w:r>
        <w:rPr>
          <w:rFonts w:hint="eastAsia" w:ascii="宋体" w:hAnsi="宋体"/>
          <w:b/>
          <w:sz w:val="32"/>
          <w:szCs w:val="32"/>
        </w:rPr>
        <w:t>杭州初灵信息技术股份有限公司</w:t>
      </w:r>
    </w:p>
    <w:p>
      <w:pPr>
        <w:jc w:val="center"/>
        <w:rPr>
          <w:rFonts w:ascii="宋体" w:hAnsi="宋体"/>
          <w:b/>
          <w:sz w:val="32"/>
          <w:szCs w:val="32"/>
        </w:rPr>
      </w:pPr>
      <w:r>
        <w:rPr>
          <w:rFonts w:hint="eastAsia" w:ascii="宋体" w:hAnsi="宋体"/>
          <w:b/>
          <w:sz w:val="32"/>
          <w:szCs w:val="32"/>
        </w:rPr>
        <w:t>关于回购公司股份方案的公告</w:t>
      </w:r>
    </w:p>
    <w:p>
      <w:pPr>
        <w:spacing w:line="360" w:lineRule="auto"/>
        <w:ind w:firstLine="562" w:firstLineChars="200"/>
        <w:rPr>
          <w:rFonts w:hint="eastAsia"/>
          <w:b/>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spacing w:line="360" w:lineRule="auto"/>
              <w:ind w:firstLine="600" w:firstLineChars="250"/>
              <w:rPr>
                <w:rFonts w:hint="eastAsia" w:ascii="宋体" w:hAnsi="宋体"/>
                <w:sz w:val="24"/>
                <w:szCs w:val="24"/>
              </w:rPr>
            </w:pPr>
            <w:r>
              <w:rPr>
                <w:rFonts w:hint="eastAsia" w:ascii="宋体" w:hAnsi="宋体"/>
                <w:sz w:val="24"/>
                <w:szCs w:val="24"/>
              </w:rPr>
              <w:t>本公司及董事会全体成员保证信息披露的内容真实、准确、完整，没有虚假记载、误导性陈述或者重大遗漏。</w:t>
            </w:r>
          </w:p>
        </w:tc>
      </w:tr>
    </w:tbl>
    <w:p>
      <w:pPr>
        <w:pStyle w:val="17"/>
        <w:rPr>
          <w:rFonts w:hint="eastAsia"/>
        </w:rPr>
      </w:pPr>
    </w:p>
    <w:p>
      <w:pPr>
        <w:pStyle w:val="17"/>
      </w:pPr>
    </w:p>
    <w:p>
      <w:pPr>
        <w:pStyle w:val="17"/>
        <w:spacing w:after="156" w:afterLines="50" w:line="360" w:lineRule="auto"/>
        <w:ind w:firstLine="482" w:firstLineChars="200"/>
        <w:rPr>
          <w:rFonts w:hAnsi="宋体"/>
          <w:b/>
        </w:rPr>
      </w:pPr>
      <w:r>
        <w:rPr>
          <w:rFonts w:hint="eastAsia" w:hAnsi="宋体"/>
          <w:b/>
        </w:rPr>
        <w:t>重要内容提示：</w:t>
      </w:r>
      <w:r>
        <w:rPr>
          <w:rFonts w:hAnsi="宋体"/>
          <w:b/>
        </w:rPr>
        <w:t xml:space="preserve"> </w:t>
      </w:r>
    </w:p>
    <w:p>
      <w:pPr>
        <w:pStyle w:val="17"/>
        <w:spacing w:line="360" w:lineRule="auto"/>
        <w:ind w:firstLine="480" w:firstLineChars="200"/>
        <w:rPr>
          <w:rFonts w:hint="default" w:eastAsia="宋体"/>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回购基本内容</w:t>
      </w:r>
    </w:p>
    <w:p>
      <w:pPr>
        <w:pStyle w:val="17"/>
        <w:spacing w:line="360" w:lineRule="auto"/>
        <w:ind w:firstLine="480" w:firstLineChars="200"/>
      </w:pPr>
      <w:r>
        <w:t>基于对公司未来</w:t>
      </w:r>
      <w:r>
        <w:rPr>
          <w:rFonts w:hint="eastAsia" w:hAnsi="宋体"/>
        </w:rPr>
        <w:t>发展的信心</w:t>
      </w:r>
      <w:r>
        <w:t>和对公司内在价值的认可，</w:t>
      </w:r>
      <w:r>
        <w:rPr>
          <w:rFonts w:hint="eastAsia"/>
          <w:lang w:val="en-US" w:eastAsia="zh-CN"/>
        </w:rPr>
        <w:t>为</w:t>
      </w:r>
      <w:r>
        <w:t>维护</w:t>
      </w:r>
      <w:r>
        <w:rPr>
          <w:rFonts w:hint="eastAsia"/>
          <w:lang w:val="en-US" w:eastAsia="zh-CN"/>
        </w:rPr>
        <w:t>公司价值及股东权益</w:t>
      </w:r>
      <w:r>
        <w:t>，</w:t>
      </w:r>
      <w:r>
        <w:rPr>
          <w:rFonts w:hint="eastAsia"/>
        </w:rPr>
        <w:t>综合考虑公司的经营状况、财务状况以及未来的盈利能力</w:t>
      </w:r>
      <w:r>
        <w:t>，杭州初灵信息技术股份有限公司（以下简称“公司”、“本公司”）拟使用自有资金以集中竞价交易方式回购公司部分股份。</w:t>
      </w:r>
    </w:p>
    <w:p>
      <w:pPr>
        <w:pStyle w:val="17"/>
        <w:spacing w:line="360" w:lineRule="auto"/>
        <w:ind w:firstLine="480" w:firstLineChars="200"/>
      </w:pPr>
      <w:r>
        <w:rPr>
          <w:rFonts w:hint="eastAsia"/>
        </w:rPr>
        <w:t>1、回购股份的种类：公司发行的人民币普通股（A 股）。</w:t>
      </w:r>
      <w:r>
        <w:t xml:space="preserve"> </w:t>
      </w:r>
    </w:p>
    <w:p>
      <w:pPr>
        <w:pStyle w:val="17"/>
        <w:spacing w:line="360" w:lineRule="auto"/>
        <w:ind w:firstLine="480" w:firstLineChars="200"/>
        <w:rPr>
          <w:highlight w:val="none"/>
        </w:rPr>
      </w:pPr>
      <w:r>
        <w:t>2</w:t>
      </w:r>
      <w:r>
        <w:rPr>
          <w:rFonts w:hint="eastAsia"/>
        </w:rPr>
        <w:t>、回购资金总额：本次拟用于回购的资金总额不低于人</w:t>
      </w:r>
      <w:r>
        <w:rPr>
          <w:rFonts w:hint="eastAsia"/>
          <w:highlight w:val="none"/>
        </w:rPr>
        <w:t>民币</w:t>
      </w:r>
      <w:r>
        <w:rPr>
          <w:rFonts w:hint="eastAsia"/>
          <w:highlight w:val="none"/>
          <w:lang w:val="en-US" w:eastAsia="zh-CN"/>
        </w:rPr>
        <w:t>1,0</w:t>
      </w:r>
      <w:r>
        <w:rPr>
          <w:rFonts w:hint="eastAsia"/>
          <w:highlight w:val="none"/>
        </w:rPr>
        <w:t>00 万元（含）且不超过人民币</w:t>
      </w:r>
      <w:r>
        <w:rPr>
          <w:rFonts w:hint="eastAsia"/>
          <w:highlight w:val="none"/>
          <w:lang w:val="en-US" w:eastAsia="zh-CN"/>
        </w:rPr>
        <w:t>2</w:t>
      </w:r>
      <w:r>
        <w:rPr>
          <w:rFonts w:hint="eastAsia"/>
          <w:highlight w:val="none"/>
        </w:rPr>
        <w:t>,000 万元（含）。</w:t>
      </w:r>
    </w:p>
    <w:p>
      <w:pPr>
        <w:pStyle w:val="17"/>
        <w:spacing w:line="360" w:lineRule="auto"/>
        <w:ind w:firstLine="480" w:firstLineChars="200"/>
        <w:rPr>
          <w:highlight w:val="none"/>
        </w:rPr>
      </w:pPr>
      <w:r>
        <w:rPr>
          <w:highlight w:val="none"/>
        </w:rPr>
        <w:t>3</w:t>
      </w:r>
      <w:r>
        <w:rPr>
          <w:rFonts w:hint="eastAsia"/>
          <w:highlight w:val="none"/>
        </w:rPr>
        <w:t>、</w:t>
      </w:r>
      <w:r>
        <w:rPr>
          <w:highlight w:val="none"/>
        </w:rPr>
        <w:t>回购期限：自董事会审议通过本次回购股份方案之日起</w:t>
      </w:r>
      <w:r>
        <w:rPr>
          <w:rFonts w:hint="eastAsia"/>
          <w:highlight w:val="none"/>
          <w:lang w:val="en-US" w:eastAsia="zh-CN"/>
        </w:rPr>
        <w:t>三个月内</w:t>
      </w:r>
      <w:r>
        <w:rPr>
          <w:highlight w:val="none"/>
        </w:rPr>
        <w:t>。</w:t>
      </w:r>
    </w:p>
    <w:p>
      <w:pPr>
        <w:spacing w:line="360" w:lineRule="auto"/>
        <w:ind w:firstLine="480" w:firstLineChars="200"/>
        <w:jc w:val="left"/>
        <w:rPr>
          <w:rFonts w:hint="eastAsia" w:ascii="宋体" w:cs="宋体"/>
          <w:color w:val="000000"/>
          <w:kern w:val="0"/>
          <w:sz w:val="24"/>
          <w:szCs w:val="24"/>
          <w:highlight w:val="none"/>
        </w:rPr>
      </w:pPr>
      <w:r>
        <w:rPr>
          <w:rFonts w:ascii="宋体" w:cs="宋体"/>
          <w:color w:val="000000"/>
          <w:kern w:val="0"/>
          <w:sz w:val="24"/>
          <w:szCs w:val="24"/>
          <w:highlight w:val="none"/>
        </w:rPr>
        <w:t>4</w:t>
      </w:r>
      <w:r>
        <w:rPr>
          <w:rFonts w:hint="eastAsia" w:ascii="宋体" w:cs="宋体"/>
          <w:color w:val="000000"/>
          <w:kern w:val="0"/>
          <w:sz w:val="24"/>
          <w:szCs w:val="24"/>
          <w:highlight w:val="none"/>
        </w:rPr>
        <w:t>、回购股份的用途：用于维护公司价值及股东权益所必需。</w:t>
      </w:r>
    </w:p>
    <w:p>
      <w:pPr>
        <w:spacing w:line="360" w:lineRule="auto"/>
        <w:ind w:firstLine="480" w:firstLineChars="200"/>
        <w:jc w:val="left"/>
        <w:rPr>
          <w:rFonts w:hint="eastAsia" w:ascii="宋体" w:cs="宋体"/>
          <w:color w:val="000000"/>
          <w:kern w:val="0"/>
          <w:sz w:val="24"/>
          <w:szCs w:val="24"/>
          <w:highlight w:val="none"/>
          <w:lang w:val="en-US" w:eastAsia="zh-CN"/>
        </w:rPr>
      </w:pPr>
      <w:r>
        <w:rPr>
          <w:rFonts w:hint="eastAsia" w:ascii="宋体" w:cs="宋体"/>
          <w:color w:val="000000"/>
          <w:kern w:val="0"/>
          <w:sz w:val="24"/>
          <w:szCs w:val="24"/>
          <w:highlight w:val="none"/>
          <w:lang w:val="en-US" w:eastAsia="zh-CN"/>
        </w:rPr>
        <w:t>5、回购股份的资金来源：公司自有资金。</w:t>
      </w:r>
    </w:p>
    <w:p>
      <w:pPr>
        <w:spacing w:line="360" w:lineRule="auto"/>
        <w:ind w:firstLine="480" w:firstLineChars="200"/>
        <w:jc w:val="left"/>
        <w:rPr>
          <w:rFonts w:hint="eastAsia" w:ascii="宋体" w:cs="宋体"/>
          <w:color w:val="000000"/>
          <w:kern w:val="0"/>
          <w:sz w:val="24"/>
          <w:szCs w:val="24"/>
          <w:highlight w:val="none"/>
          <w:lang w:val="en-US" w:eastAsia="zh-CN"/>
        </w:rPr>
      </w:pPr>
      <w:r>
        <w:rPr>
          <w:rFonts w:hint="eastAsia" w:ascii="宋体" w:cs="宋体"/>
          <w:color w:val="000000"/>
          <w:kern w:val="0"/>
          <w:sz w:val="24"/>
          <w:szCs w:val="24"/>
          <w:highlight w:val="none"/>
          <w:lang w:val="en-US" w:eastAsia="zh-CN"/>
        </w:rPr>
        <w:t>6、回购股份价格：不超过人民币 15.00元/股。</w:t>
      </w:r>
    </w:p>
    <w:p>
      <w:pPr>
        <w:spacing w:line="360" w:lineRule="auto"/>
        <w:ind w:firstLine="480" w:firstLineChars="200"/>
        <w:jc w:val="left"/>
        <w:rPr>
          <w:rFonts w:hint="eastAsia" w:ascii="宋体" w:cs="宋体"/>
          <w:color w:val="000000"/>
          <w:kern w:val="0"/>
          <w:sz w:val="24"/>
          <w:szCs w:val="24"/>
          <w:highlight w:val="none"/>
          <w:lang w:val="en-US" w:eastAsia="zh-CN"/>
        </w:rPr>
      </w:pPr>
      <w:r>
        <w:rPr>
          <w:rFonts w:hint="eastAsia" w:ascii="宋体" w:cs="宋体"/>
          <w:color w:val="000000"/>
          <w:kern w:val="0"/>
          <w:sz w:val="24"/>
          <w:szCs w:val="24"/>
          <w:highlight w:val="none"/>
          <w:lang w:val="en-US" w:eastAsia="zh-CN"/>
        </w:rPr>
        <w:t>7、回购股份的数量、占公司总股本的比例：</w:t>
      </w:r>
    </w:p>
    <w:p>
      <w:pPr>
        <w:spacing w:line="360" w:lineRule="auto"/>
        <w:ind w:firstLine="480" w:firstLineChars="200"/>
        <w:jc w:val="left"/>
        <w:rPr>
          <w:rFonts w:hint="default" w:ascii="宋体" w:cs="宋体"/>
          <w:color w:val="000000"/>
          <w:kern w:val="0"/>
          <w:sz w:val="24"/>
          <w:szCs w:val="24"/>
          <w:lang w:val="en-US" w:eastAsia="zh-CN"/>
        </w:rPr>
      </w:pPr>
      <w:r>
        <w:rPr>
          <w:rFonts w:hint="default" w:ascii="宋体" w:cs="宋体"/>
          <w:color w:val="000000"/>
          <w:kern w:val="0"/>
          <w:sz w:val="24"/>
          <w:szCs w:val="24"/>
          <w:highlight w:val="none"/>
          <w:lang w:val="en-US" w:eastAsia="zh-CN"/>
        </w:rPr>
        <w:t xml:space="preserve">本次回购股份价格不超过人民币 </w:t>
      </w:r>
      <w:r>
        <w:rPr>
          <w:rFonts w:hint="eastAsia" w:ascii="宋体" w:cs="宋体"/>
          <w:color w:val="000000"/>
          <w:kern w:val="0"/>
          <w:sz w:val="24"/>
          <w:szCs w:val="24"/>
          <w:highlight w:val="none"/>
          <w:lang w:val="en-US" w:eastAsia="zh-CN"/>
        </w:rPr>
        <w:t>15.0</w:t>
      </w:r>
      <w:r>
        <w:rPr>
          <w:rFonts w:hint="default" w:ascii="宋体" w:cs="宋体"/>
          <w:color w:val="000000"/>
          <w:kern w:val="0"/>
          <w:sz w:val="24"/>
          <w:szCs w:val="24"/>
          <w:highlight w:val="none"/>
          <w:lang w:val="en-US" w:eastAsia="zh-CN"/>
        </w:rPr>
        <w:t xml:space="preserve">0 元/股。按本次回购资金最高人民币 </w:t>
      </w:r>
      <w:r>
        <w:rPr>
          <w:rFonts w:hint="eastAsia" w:ascii="宋体" w:cs="宋体"/>
          <w:color w:val="000000"/>
          <w:kern w:val="0"/>
          <w:sz w:val="24"/>
          <w:szCs w:val="24"/>
          <w:highlight w:val="none"/>
          <w:lang w:val="en-US" w:eastAsia="zh-CN"/>
        </w:rPr>
        <w:t>2</w:t>
      </w:r>
      <w:r>
        <w:rPr>
          <w:rFonts w:hint="default" w:ascii="宋体" w:cs="宋体"/>
          <w:color w:val="000000"/>
          <w:kern w:val="0"/>
          <w:sz w:val="24"/>
          <w:szCs w:val="24"/>
          <w:highlight w:val="none"/>
          <w:lang w:val="en-US" w:eastAsia="zh-CN"/>
        </w:rPr>
        <w:t>,000 万元测算，预计可回购股份数量约为</w:t>
      </w:r>
      <w:r>
        <w:rPr>
          <w:rFonts w:hint="eastAsia" w:ascii="宋体" w:cs="宋体"/>
          <w:color w:val="000000"/>
          <w:kern w:val="0"/>
          <w:sz w:val="24"/>
          <w:szCs w:val="24"/>
          <w:highlight w:val="none"/>
          <w:lang w:val="en-US" w:eastAsia="zh-CN"/>
        </w:rPr>
        <w:t>1,333,333</w:t>
      </w:r>
      <w:r>
        <w:rPr>
          <w:rFonts w:hint="default" w:ascii="宋体" w:cs="宋体"/>
          <w:color w:val="000000"/>
          <w:kern w:val="0"/>
          <w:sz w:val="24"/>
          <w:szCs w:val="24"/>
          <w:highlight w:val="none"/>
          <w:lang w:val="en-US" w:eastAsia="zh-CN"/>
        </w:rPr>
        <w:t>股，约占公司目前总股本的 0.</w:t>
      </w:r>
      <w:r>
        <w:rPr>
          <w:rFonts w:hint="eastAsia" w:ascii="宋体" w:cs="宋体"/>
          <w:color w:val="000000"/>
          <w:kern w:val="0"/>
          <w:sz w:val="24"/>
          <w:szCs w:val="24"/>
          <w:highlight w:val="none"/>
          <w:lang w:val="en-US" w:eastAsia="zh-CN"/>
        </w:rPr>
        <w:t>61</w:t>
      </w:r>
      <w:r>
        <w:rPr>
          <w:rFonts w:hint="default" w:ascii="宋体" w:cs="宋体"/>
          <w:color w:val="000000"/>
          <w:kern w:val="0"/>
          <w:sz w:val="24"/>
          <w:szCs w:val="24"/>
          <w:highlight w:val="none"/>
          <w:lang w:val="en-US" w:eastAsia="zh-CN"/>
        </w:rPr>
        <w:t xml:space="preserve">%；按本次回购资金最低人民币 </w:t>
      </w:r>
      <w:r>
        <w:rPr>
          <w:rFonts w:hint="eastAsia" w:ascii="宋体" w:cs="宋体"/>
          <w:color w:val="000000"/>
          <w:kern w:val="0"/>
          <w:sz w:val="24"/>
          <w:szCs w:val="24"/>
          <w:highlight w:val="none"/>
          <w:lang w:val="en-US" w:eastAsia="zh-CN"/>
        </w:rPr>
        <w:t>1,0</w:t>
      </w:r>
      <w:r>
        <w:rPr>
          <w:rFonts w:hint="default" w:ascii="宋体" w:cs="宋体"/>
          <w:color w:val="000000"/>
          <w:kern w:val="0"/>
          <w:sz w:val="24"/>
          <w:szCs w:val="24"/>
          <w:highlight w:val="none"/>
          <w:lang w:val="en-US" w:eastAsia="zh-CN"/>
        </w:rPr>
        <w:t>00 万元测算，预计可回购股份数量约为</w:t>
      </w:r>
      <w:r>
        <w:rPr>
          <w:rFonts w:hint="eastAsia" w:ascii="宋体" w:cs="宋体"/>
          <w:color w:val="000000"/>
          <w:kern w:val="0"/>
          <w:sz w:val="24"/>
          <w:szCs w:val="24"/>
          <w:highlight w:val="none"/>
          <w:lang w:val="en-US" w:eastAsia="zh-CN"/>
        </w:rPr>
        <w:t>666,666</w:t>
      </w:r>
      <w:r>
        <w:rPr>
          <w:rFonts w:hint="default" w:ascii="宋体" w:cs="宋体"/>
          <w:color w:val="000000"/>
          <w:kern w:val="0"/>
          <w:sz w:val="24"/>
          <w:szCs w:val="24"/>
          <w:highlight w:val="none"/>
          <w:lang w:val="en-US" w:eastAsia="zh-CN"/>
        </w:rPr>
        <w:t>股，约占公司目前总股本的 0.</w:t>
      </w:r>
      <w:r>
        <w:rPr>
          <w:rFonts w:hint="eastAsia" w:ascii="宋体" w:cs="宋体"/>
          <w:color w:val="000000"/>
          <w:kern w:val="0"/>
          <w:sz w:val="24"/>
          <w:szCs w:val="24"/>
          <w:highlight w:val="none"/>
          <w:lang w:val="en-US" w:eastAsia="zh-CN"/>
        </w:rPr>
        <w:t>30</w:t>
      </w:r>
      <w:r>
        <w:rPr>
          <w:rFonts w:hint="default" w:ascii="宋体" w:cs="宋体"/>
          <w:color w:val="000000"/>
          <w:kern w:val="0"/>
          <w:sz w:val="24"/>
          <w:szCs w:val="24"/>
          <w:highlight w:val="none"/>
          <w:lang w:val="en-US" w:eastAsia="zh-CN"/>
        </w:rPr>
        <w:t>%。具体回购股份的数量和回购金额以回购期限届满时实际回购的股份数量和回购金额为准</w:t>
      </w:r>
      <w:r>
        <w:rPr>
          <w:rFonts w:hint="default" w:ascii="宋体" w:cs="宋体"/>
          <w:color w:val="000000"/>
          <w:kern w:val="0"/>
          <w:sz w:val="24"/>
          <w:szCs w:val="24"/>
          <w:lang w:val="en-US" w:eastAsia="zh-CN"/>
        </w:rPr>
        <w:t>。</w:t>
      </w:r>
    </w:p>
    <w:p>
      <w:pPr>
        <w:pStyle w:val="17"/>
        <w:numPr>
          <w:ilvl w:val="0"/>
          <w:numId w:val="2"/>
        </w:numPr>
        <w:spacing w:line="360" w:lineRule="auto"/>
        <w:ind w:firstLine="480" w:firstLineChars="200"/>
        <w:rPr>
          <w:rFonts w:hint="eastAsia"/>
          <w:lang w:val="en-US" w:eastAsia="zh-CN"/>
        </w:rPr>
      </w:pPr>
      <w:r>
        <w:rPr>
          <w:rFonts w:hint="eastAsia"/>
          <w:lang w:val="en-US" w:eastAsia="zh-CN"/>
        </w:rPr>
        <w:t>相关人员的减持计划</w:t>
      </w:r>
    </w:p>
    <w:p>
      <w:pPr>
        <w:pStyle w:val="17"/>
        <w:numPr>
          <w:ilvl w:val="0"/>
          <w:numId w:val="0"/>
        </w:numPr>
        <w:spacing w:line="360" w:lineRule="auto"/>
        <w:ind w:firstLine="480" w:firstLineChars="200"/>
        <w:rPr>
          <w:rFonts w:hint="default"/>
          <w:lang w:val="en-US" w:eastAsia="zh-CN"/>
        </w:rPr>
      </w:pPr>
      <w:r>
        <w:rPr>
          <w:rFonts w:hint="default"/>
          <w:lang w:val="en-US" w:eastAsia="zh-CN"/>
        </w:rPr>
        <w:t>经问询，截至本公告披露日，公司控股股东、实际控制人、董事、监事及高级管理人员持有的公司股份在回购计划实施期间无减持计划。</w:t>
      </w:r>
    </w:p>
    <w:p>
      <w:pPr>
        <w:pStyle w:val="17"/>
        <w:numPr>
          <w:ilvl w:val="0"/>
          <w:numId w:val="2"/>
        </w:numPr>
        <w:spacing w:line="360" w:lineRule="auto"/>
        <w:ind w:left="0" w:leftChars="0" w:firstLine="480" w:firstLineChars="200"/>
        <w:rPr>
          <w:rFonts w:hint="eastAsia"/>
          <w:lang w:val="en-US" w:eastAsia="zh-CN"/>
        </w:rPr>
      </w:pPr>
      <w:r>
        <w:rPr>
          <w:rFonts w:hint="eastAsia"/>
          <w:lang w:val="en-US" w:eastAsia="zh-CN"/>
        </w:rPr>
        <w:t>风险提示</w:t>
      </w:r>
    </w:p>
    <w:p>
      <w:pPr>
        <w:pStyle w:val="17"/>
        <w:spacing w:line="360" w:lineRule="auto"/>
        <w:ind w:firstLine="480" w:firstLineChars="200"/>
        <w:rPr>
          <w:rFonts w:hint="default" w:hAnsi="Times New Roman" w:eastAsia="宋体"/>
          <w:lang w:val="en-US" w:eastAsia="zh-CN"/>
        </w:rPr>
      </w:pPr>
      <w:r>
        <w:rPr>
          <w:rFonts w:hint="default" w:hAnsi="Times New Roman" w:eastAsia="宋体"/>
          <w:lang w:val="en-US" w:eastAsia="zh-CN"/>
        </w:rPr>
        <w:t>1、若公司在实施回购股份期间，公司股票价格持续超出回购价格上限，则存在回购方案无法顺利实施或者部分实施的风险；</w:t>
      </w:r>
    </w:p>
    <w:p>
      <w:pPr>
        <w:pStyle w:val="17"/>
        <w:spacing w:line="360" w:lineRule="auto"/>
        <w:ind w:firstLine="480" w:firstLineChars="200"/>
        <w:rPr>
          <w:rFonts w:hint="default" w:hAnsi="Times New Roman" w:eastAsia="宋体"/>
          <w:lang w:val="en-US" w:eastAsia="zh-CN"/>
        </w:rPr>
      </w:pPr>
      <w:r>
        <w:rPr>
          <w:rFonts w:hint="default" w:hAnsi="Times New Roman" w:eastAsia="宋体"/>
          <w:lang w:val="en-US" w:eastAsia="zh-CN"/>
        </w:rPr>
        <w:t>2、若在实施回购股份期间，发生对公司股票交易价格产生重大影响的重大事项或公司董事会决定终止本次回购方案等事项，则存在回购方案无法顺利实施或者根据相关规定变更或终止本次回购方案的风险；</w:t>
      </w:r>
    </w:p>
    <w:p>
      <w:pPr>
        <w:pStyle w:val="17"/>
        <w:spacing w:line="360" w:lineRule="auto"/>
        <w:ind w:firstLine="480" w:firstLineChars="200"/>
        <w:rPr>
          <w:rFonts w:hint="default" w:hAnsi="Times New Roman" w:eastAsia="宋体"/>
          <w:lang w:val="en-US" w:eastAsia="zh-CN"/>
        </w:rPr>
      </w:pPr>
      <w:r>
        <w:rPr>
          <w:rFonts w:hint="default" w:hAnsi="Times New Roman" w:eastAsia="宋体"/>
          <w:lang w:val="en-US" w:eastAsia="zh-CN"/>
        </w:rPr>
        <w:t>3、本次回购股份拟按照有关回购规则和监管指引要求在规定期限内予以出售，若因相关情况变化，公司未能实施上述用途，则存在变更用途的风险；如未使用部分拟依法注销，则存在债权人要求公司提前清偿债务或要求公司提供相应担保的风险。</w:t>
      </w:r>
    </w:p>
    <w:p>
      <w:pPr>
        <w:pStyle w:val="17"/>
        <w:spacing w:line="360" w:lineRule="auto"/>
        <w:ind w:firstLine="480" w:firstLineChars="200"/>
        <w:rPr>
          <w:rFonts w:hAnsi="宋体"/>
          <w:b/>
        </w:rPr>
      </w:pPr>
      <w:r>
        <w:rPr>
          <w:rFonts w:hint="default" w:hAnsi="Times New Roman" w:eastAsia="宋体"/>
          <w:lang w:val="en-US" w:eastAsia="zh-CN"/>
        </w:rPr>
        <w:t>公司将努力推进本次回购方案的顺利实施，在回购期限内根据市场情况择机实施回购，并根据回购股份事项进展情况及时履行信息披露义务，敬请广大投资者注意投资风险。</w:t>
      </w:r>
    </w:p>
    <w:p>
      <w:pPr>
        <w:pStyle w:val="17"/>
        <w:spacing w:line="360" w:lineRule="auto"/>
        <w:ind w:firstLine="480" w:firstLineChars="200"/>
        <w:rPr>
          <w:rFonts w:hint="eastAsia" w:hAnsi="宋体"/>
          <w:b/>
        </w:rPr>
      </w:pPr>
      <w:r>
        <w:t>根据《中华人民共和国公司法》、《中华人民共和国证券法》、《上市公司 回购社会公众股份管理办法（试行）》、</w:t>
      </w:r>
      <w:r>
        <w:rPr>
          <w:rFonts w:hint="eastAsia"/>
        </w:rPr>
        <w:t>《深圳证券交易所上市公司自律监管指引第 9 号——回购股份》（以下简称《回购指引》）</w:t>
      </w:r>
      <w:r>
        <w:t>等法律法规及《公司章程》规定，公司于202</w:t>
      </w:r>
      <w:r>
        <w:rPr>
          <w:rFonts w:hint="eastAsia"/>
          <w:lang w:val="en-US" w:eastAsia="zh-CN"/>
        </w:rPr>
        <w:t>4</w:t>
      </w:r>
      <w:r>
        <w:t>年</w:t>
      </w:r>
      <w:r>
        <w:rPr>
          <w:rFonts w:hint="eastAsia"/>
          <w:lang w:val="en-US" w:eastAsia="zh-CN"/>
        </w:rPr>
        <w:t>2</w:t>
      </w:r>
      <w:r>
        <w:t>月2</w:t>
      </w:r>
      <w:r>
        <w:rPr>
          <w:rFonts w:hint="eastAsia"/>
          <w:lang w:val="en-US" w:eastAsia="zh-CN"/>
        </w:rPr>
        <w:t>8</w:t>
      </w:r>
      <w:r>
        <w:t>日召开第</w:t>
      </w:r>
      <w:r>
        <w:rPr>
          <w:rFonts w:hint="eastAsia"/>
          <w:lang w:val="en-US" w:eastAsia="zh-CN"/>
        </w:rPr>
        <w:t>五</w:t>
      </w:r>
      <w:r>
        <w:t>届董事会第</w:t>
      </w:r>
      <w:r>
        <w:rPr>
          <w:rFonts w:hint="eastAsia"/>
          <w:lang w:val="en-US" w:eastAsia="zh-CN"/>
        </w:rPr>
        <w:t>九</w:t>
      </w:r>
      <w:r>
        <w:t>次会议，审议通过了《关于回购公司股份</w:t>
      </w:r>
      <w:r>
        <w:rPr>
          <w:rFonts w:hint="eastAsia"/>
        </w:rPr>
        <w:t>方案</w:t>
      </w:r>
      <w:r>
        <w:t>的议案》。具体情况如下：</w:t>
      </w:r>
    </w:p>
    <w:p>
      <w:pPr>
        <w:pStyle w:val="17"/>
        <w:spacing w:line="360" w:lineRule="auto"/>
        <w:ind w:firstLine="472" w:firstLineChars="196"/>
        <w:rPr>
          <w:rFonts w:hAnsi="宋体"/>
          <w:b/>
        </w:rPr>
      </w:pPr>
      <w:r>
        <w:rPr>
          <w:rFonts w:hint="eastAsia" w:hAnsi="宋体"/>
          <w:b/>
        </w:rPr>
        <w:t>一、回购股份的目的和用途</w:t>
      </w:r>
    </w:p>
    <w:p>
      <w:pPr>
        <w:spacing w:line="360" w:lineRule="auto"/>
        <w:ind w:firstLine="480" w:firstLineChars="200"/>
        <w:jc w:val="left"/>
        <w:rPr>
          <w:rFonts w:ascii="宋体" w:hAnsi="Times New Roman" w:eastAsia="宋体" w:cs="宋体"/>
          <w:color w:val="000000"/>
          <w:kern w:val="0"/>
          <w:sz w:val="24"/>
          <w:szCs w:val="24"/>
          <w:lang w:val="en-US" w:eastAsia="zh-CN" w:bidi="ar-SA"/>
        </w:rPr>
      </w:pPr>
      <w:r>
        <w:rPr>
          <w:rFonts w:hint="eastAsia" w:ascii="宋体" w:hAnsi="Times New Roman" w:eastAsia="宋体" w:cs="宋体"/>
          <w:color w:val="000000"/>
          <w:kern w:val="0"/>
          <w:sz w:val="24"/>
          <w:szCs w:val="24"/>
          <w:lang w:val="en-US" w:eastAsia="zh-CN" w:bidi="ar-SA"/>
        </w:rPr>
        <w:t>基于对公司未来发展的信心和对公司内在价值的认可，为维护公司价值以及公众投资者尤其是中小投资者的利益，增强投资者对公司长期价值的认可和投资信心，促进公司股票价格合理回归内在价值，经综合考虑公司经营情况、财务状况、未来盈利能力和发展前景，公司拟使用自有资金以集中竞价交易方式回购公司部分社会公众股份，用于维护公司价值及股东权益所必需。</w:t>
      </w:r>
    </w:p>
    <w:p>
      <w:pPr>
        <w:pStyle w:val="17"/>
        <w:spacing w:line="360" w:lineRule="auto"/>
        <w:ind w:firstLine="472" w:firstLineChars="196"/>
        <w:rPr>
          <w:rFonts w:hint="eastAsia" w:hAnsi="宋体"/>
          <w:b/>
        </w:rPr>
      </w:pPr>
      <w:r>
        <w:rPr>
          <w:rFonts w:hint="eastAsia" w:hAnsi="宋体"/>
          <w:b/>
        </w:rPr>
        <w:t>二、</w:t>
      </w:r>
      <w:r>
        <w:rPr>
          <w:rFonts w:hAnsi="宋体"/>
          <w:b/>
        </w:rPr>
        <w:t xml:space="preserve">回购股份符合相关条件 </w:t>
      </w:r>
    </w:p>
    <w:p>
      <w:pPr>
        <w:pStyle w:val="17"/>
        <w:spacing w:line="360" w:lineRule="auto"/>
        <w:ind w:firstLine="470" w:firstLineChars="196"/>
        <w:rPr>
          <w:rFonts w:hint="eastAsia"/>
        </w:rPr>
      </w:pPr>
      <w:r>
        <w:rPr>
          <w:rFonts w:hint="eastAsia"/>
        </w:rPr>
        <w:t>公司本次回购股份，符合《上市公司股份回购规则》、《深圳证券交易所上市公司自律监管指引第9号—回购股份》规定的为维护公司价值及股东权益所必需回购公司股份的条件。</w:t>
      </w:r>
    </w:p>
    <w:p>
      <w:pPr>
        <w:pStyle w:val="17"/>
        <w:spacing w:line="360" w:lineRule="auto"/>
        <w:ind w:firstLine="470" w:firstLineChars="196"/>
        <w:rPr>
          <w:rFonts w:hint="eastAsia"/>
          <w:lang w:val="en-US" w:eastAsia="zh-CN"/>
        </w:rPr>
      </w:pPr>
      <w:r>
        <w:rPr>
          <w:rFonts w:hint="eastAsia"/>
          <w:lang w:val="en-US" w:eastAsia="zh-CN"/>
        </w:rPr>
        <w:t>2024年1月12日，公司股票收盘价16.54元/股，2024年2月8日，公司股票收盘价12.40元/股，连续二十个交易日内公司股票收盘价格跌幅累计超过百分之二十。公司本次回购股份符合《深圳证券交易所上市公司自律监管指引第9号--回购股份》第二条第二款第（二）条“连续二十个交易日内公司股票收盘价格跌幅累计达到百分之二十”以及第十条规定的条件：</w:t>
      </w:r>
    </w:p>
    <w:p>
      <w:pPr>
        <w:keepNext w:val="0"/>
        <w:keepLines w:val="0"/>
        <w:widowControl/>
        <w:suppressLineNumbers w:val="0"/>
        <w:spacing w:line="360" w:lineRule="auto"/>
        <w:jc w:val="left"/>
        <w:rPr>
          <w:rFonts w:hint="eastAsia" w:ascii="宋体" w:hAnsi="Times New Roman" w:eastAsia="宋体" w:cs="宋体"/>
          <w:color w:val="000000"/>
          <w:kern w:val="0"/>
          <w:sz w:val="24"/>
          <w:szCs w:val="24"/>
          <w:lang w:val="en-US" w:eastAsia="zh-CN" w:bidi="ar-SA"/>
        </w:rPr>
      </w:pPr>
      <w:r>
        <w:rPr>
          <w:rFonts w:hint="default" w:ascii="宋体" w:hAnsi="Times New Roman" w:eastAsia="宋体" w:cs="宋体"/>
          <w:color w:val="000000"/>
          <w:kern w:val="0"/>
          <w:sz w:val="24"/>
          <w:szCs w:val="24"/>
          <w:lang w:val="en-US" w:eastAsia="zh-CN" w:bidi="ar-SA"/>
        </w:rPr>
        <w:t>1</w:t>
      </w:r>
      <w:r>
        <w:rPr>
          <w:rFonts w:hint="eastAsia" w:ascii="宋体" w:hAnsi="Times New Roman" w:eastAsia="宋体" w:cs="宋体"/>
          <w:color w:val="000000"/>
          <w:kern w:val="0"/>
          <w:sz w:val="24"/>
          <w:szCs w:val="24"/>
          <w:lang w:val="en-US" w:eastAsia="zh-CN" w:bidi="ar-SA"/>
        </w:rPr>
        <w:t xml:space="preserve">、公司股票上市已满六个月； </w:t>
      </w:r>
    </w:p>
    <w:p>
      <w:pPr>
        <w:keepNext w:val="0"/>
        <w:keepLines w:val="0"/>
        <w:widowControl/>
        <w:suppressLineNumbers w:val="0"/>
        <w:spacing w:line="360" w:lineRule="auto"/>
        <w:jc w:val="left"/>
        <w:rPr>
          <w:rFonts w:hint="eastAsia" w:ascii="宋体" w:hAnsi="Times New Roman" w:eastAsia="宋体" w:cs="宋体"/>
          <w:color w:val="000000"/>
          <w:kern w:val="0"/>
          <w:sz w:val="24"/>
          <w:szCs w:val="24"/>
          <w:lang w:val="en-US" w:eastAsia="zh-CN" w:bidi="ar-SA"/>
        </w:rPr>
      </w:pPr>
      <w:r>
        <w:rPr>
          <w:rFonts w:hint="default" w:ascii="宋体" w:hAnsi="Times New Roman" w:eastAsia="宋体" w:cs="宋体"/>
          <w:color w:val="000000"/>
          <w:kern w:val="0"/>
          <w:sz w:val="24"/>
          <w:szCs w:val="24"/>
          <w:lang w:val="en-US" w:eastAsia="zh-CN" w:bidi="ar-SA"/>
        </w:rPr>
        <w:t>2</w:t>
      </w:r>
      <w:r>
        <w:rPr>
          <w:rFonts w:hint="eastAsia" w:ascii="宋体" w:hAnsi="Times New Roman" w:eastAsia="宋体" w:cs="宋体"/>
          <w:color w:val="000000"/>
          <w:kern w:val="0"/>
          <w:sz w:val="24"/>
          <w:szCs w:val="24"/>
          <w:lang w:val="en-US" w:eastAsia="zh-CN" w:bidi="ar-SA"/>
        </w:rPr>
        <w:t xml:space="preserve">、公司最近一年无重大违法行为； </w:t>
      </w:r>
    </w:p>
    <w:p>
      <w:pPr>
        <w:keepNext w:val="0"/>
        <w:keepLines w:val="0"/>
        <w:widowControl/>
        <w:suppressLineNumbers w:val="0"/>
        <w:spacing w:line="360" w:lineRule="auto"/>
        <w:jc w:val="left"/>
        <w:rPr>
          <w:rFonts w:hint="eastAsia" w:ascii="宋体" w:hAnsi="Times New Roman" w:eastAsia="宋体" w:cs="宋体"/>
          <w:color w:val="000000"/>
          <w:kern w:val="0"/>
          <w:sz w:val="24"/>
          <w:szCs w:val="24"/>
          <w:lang w:val="en-US" w:eastAsia="zh-CN" w:bidi="ar-SA"/>
        </w:rPr>
      </w:pPr>
      <w:r>
        <w:rPr>
          <w:rFonts w:hint="default" w:ascii="宋体" w:hAnsi="Times New Roman" w:eastAsia="宋体" w:cs="宋体"/>
          <w:color w:val="000000"/>
          <w:kern w:val="0"/>
          <w:sz w:val="24"/>
          <w:szCs w:val="24"/>
          <w:lang w:val="en-US" w:eastAsia="zh-CN" w:bidi="ar-SA"/>
        </w:rPr>
        <w:t>3</w:t>
      </w:r>
      <w:r>
        <w:rPr>
          <w:rFonts w:hint="eastAsia" w:ascii="宋体" w:hAnsi="Times New Roman" w:eastAsia="宋体" w:cs="宋体"/>
          <w:color w:val="000000"/>
          <w:kern w:val="0"/>
          <w:sz w:val="24"/>
          <w:szCs w:val="24"/>
          <w:lang w:val="en-US" w:eastAsia="zh-CN" w:bidi="ar-SA"/>
        </w:rPr>
        <w:t>、回购股份后，公司具备债务履行能力和持续经营能力；</w:t>
      </w:r>
    </w:p>
    <w:p>
      <w:pPr>
        <w:keepNext w:val="0"/>
        <w:keepLines w:val="0"/>
        <w:widowControl/>
        <w:suppressLineNumbers w:val="0"/>
        <w:spacing w:line="360" w:lineRule="auto"/>
        <w:jc w:val="left"/>
        <w:rPr>
          <w:rFonts w:hint="eastAsia" w:ascii="宋体" w:hAnsi="Times New Roman" w:eastAsia="宋体" w:cs="宋体"/>
          <w:color w:val="000000"/>
          <w:kern w:val="0"/>
          <w:sz w:val="24"/>
          <w:szCs w:val="24"/>
          <w:lang w:val="en-US" w:eastAsia="zh-CN" w:bidi="ar-SA"/>
        </w:rPr>
      </w:pPr>
      <w:r>
        <w:rPr>
          <w:rFonts w:hint="default" w:ascii="宋体" w:hAnsi="Times New Roman" w:eastAsia="宋体" w:cs="宋体"/>
          <w:color w:val="000000"/>
          <w:kern w:val="0"/>
          <w:sz w:val="24"/>
          <w:szCs w:val="24"/>
          <w:lang w:val="en-US" w:eastAsia="zh-CN" w:bidi="ar-SA"/>
        </w:rPr>
        <w:t>4</w:t>
      </w:r>
      <w:r>
        <w:rPr>
          <w:rFonts w:hint="eastAsia" w:ascii="宋体" w:hAnsi="Times New Roman" w:eastAsia="宋体" w:cs="宋体"/>
          <w:color w:val="000000"/>
          <w:kern w:val="0"/>
          <w:sz w:val="24"/>
          <w:szCs w:val="24"/>
          <w:lang w:val="en-US" w:eastAsia="zh-CN" w:bidi="ar-SA"/>
        </w:rPr>
        <w:t xml:space="preserve">、回购股份后，公司的股权分布符合上市条件； </w:t>
      </w:r>
    </w:p>
    <w:p>
      <w:pPr>
        <w:keepNext w:val="0"/>
        <w:keepLines w:val="0"/>
        <w:widowControl/>
        <w:suppressLineNumbers w:val="0"/>
        <w:spacing w:line="360" w:lineRule="auto"/>
        <w:jc w:val="left"/>
        <w:rPr>
          <w:rFonts w:hint="default" w:ascii="宋体" w:hAnsi="Times New Roman" w:eastAsia="宋体" w:cs="宋体"/>
          <w:color w:val="000000"/>
          <w:kern w:val="0"/>
          <w:sz w:val="24"/>
          <w:szCs w:val="24"/>
          <w:lang w:val="en-US" w:eastAsia="zh-CN" w:bidi="ar-SA"/>
        </w:rPr>
      </w:pPr>
      <w:r>
        <w:rPr>
          <w:rFonts w:hint="default" w:ascii="宋体" w:hAnsi="Times New Roman" w:eastAsia="宋体" w:cs="宋体"/>
          <w:color w:val="000000"/>
          <w:kern w:val="0"/>
          <w:sz w:val="24"/>
          <w:szCs w:val="24"/>
          <w:lang w:val="en-US" w:eastAsia="zh-CN" w:bidi="ar-SA"/>
        </w:rPr>
        <w:t>5</w:t>
      </w:r>
      <w:r>
        <w:rPr>
          <w:rFonts w:hint="eastAsia" w:ascii="宋体" w:hAnsi="Times New Roman" w:eastAsia="宋体" w:cs="宋体"/>
          <w:color w:val="000000"/>
          <w:kern w:val="0"/>
          <w:sz w:val="24"/>
          <w:szCs w:val="24"/>
          <w:lang w:val="en-US" w:eastAsia="zh-CN" w:bidi="ar-SA"/>
        </w:rPr>
        <w:t>、中国证监会和深圳证券交易所规定的其他条件。</w:t>
      </w:r>
    </w:p>
    <w:p>
      <w:pPr>
        <w:pStyle w:val="17"/>
        <w:spacing w:before="156" w:beforeLines="50" w:line="360" w:lineRule="auto"/>
        <w:ind w:firstLine="472" w:firstLineChars="196"/>
        <w:rPr>
          <w:rFonts w:hAnsi="宋体"/>
          <w:b/>
        </w:rPr>
      </w:pPr>
      <w:r>
        <w:rPr>
          <w:rFonts w:hint="eastAsia" w:hAnsi="宋体"/>
          <w:b/>
        </w:rPr>
        <w:t>三、回购股份的方式、价格区间</w:t>
      </w:r>
      <w:r>
        <w:rPr>
          <w:rFonts w:hAnsi="宋体"/>
          <w:b/>
        </w:rPr>
        <w:t xml:space="preserve"> </w:t>
      </w:r>
    </w:p>
    <w:p>
      <w:pPr>
        <w:pStyle w:val="17"/>
        <w:spacing w:line="360" w:lineRule="auto"/>
        <w:ind w:firstLine="470" w:firstLineChars="196"/>
      </w:pPr>
      <w:r>
        <w:t>公司通过深圳证券交易所交易系统以集中竞价交易方式回购公司股份。</w:t>
      </w:r>
    </w:p>
    <w:p>
      <w:pPr>
        <w:pStyle w:val="17"/>
        <w:spacing w:line="360" w:lineRule="auto"/>
        <w:ind w:firstLine="470" w:firstLineChars="196"/>
        <w:rPr>
          <w:highlight w:val="none"/>
        </w:rPr>
      </w:pPr>
      <w:r>
        <w:t>为保护投资者利益，结合近期公司股价，本次股份回购价格不超过</w:t>
      </w:r>
      <w:r>
        <w:rPr>
          <w:highlight w:val="none"/>
        </w:rPr>
        <w:t>1</w:t>
      </w:r>
      <w:r>
        <w:rPr>
          <w:rFonts w:hint="eastAsia"/>
          <w:highlight w:val="none"/>
        </w:rPr>
        <w:t>5</w:t>
      </w:r>
      <w:r>
        <w:rPr>
          <w:highlight w:val="none"/>
        </w:rPr>
        <w:t>元/股，未超过董事会通过回购方案决议前三十个交易日公司股票交易均价的150%，具体回购股份价格由公司董事会在回购实施期间视公司二级市场股票价格、公司财务状况和经营状况等具体情况确定。若公司在回购期内发生送股、转增股本或现金分红等除权除息事项，自股票除权除息之日起，相应调整回购价格区间。</w:t>
      </w:r>
    </w:p>
    <w:p>
      <w:pPr>
        <w:pStyle w:val="17"/>
        <w:spacing w:before="156" w:beforeLines="50" w:line="360" w:lineRule="auto"/>
        <w:ind w:firstLine="472" w:firstLineChars="196"/>
        <w:rPr>
          <w:rFonts w:hAnsi="宋体"/>
          <w:b/>
          <w:highlight w:val="none"/>
        </w:rPr>
      </w:pPr>
      <w:r>
        <w:rPr>
          <w:rFonts w:hint="eastAsia" w:hAnsi="宋体"/>
          <w:b/>
          <w:highlight w:val="none"/>
        </w:rPr>
        <w:t>四、拟回购股份的资金总额及资金来源</w:t>
      </w:r>
      <w:r>
        <w:rPr>
          <w:rFonts w:hAnsi="宋体"/>
          <w:b/>
          <w:highlight w:val="none"/>
        </w:rPr>
        <w:t xml:space="preserve"> </w:t>
      </w:r>
    </w:p>
    <w:p>
      <w:pPr>
        <w:pStyle w:val="17"/>
        <w:spacing w:line="360" w:lineRule="auto"/>
        <w:ind w:firstLine="470" w:firstLineChars="196"/>
        <w:rPr>
          <w:rFonts w:hint="eastAsia"/>
          <w:highlight w:val="none"/>
        </w:rPr>
      </w:pPr>
      <w:r>
        <w:rPr>
          <w:highlight w:val="none"/>
        </w:rPr>
        <w:t>本次拟用于回购的资金总额不低于人民币</w:t>
      </w:r>
      <w:r>
        <w:rPr>
          <w:rFonts w:hint="eastAsia"/>
          <w:highlight w:val="none"/>
          <w:lang w:val="en-US" w:eastAsia="zh-CN"/>
        </w:rPr>
        <w:t>1</w:t>
      </w:r>
      <w:r>
        <w:rPr>
          <w:highlight w:val="none"/>
        </w:rPr>
        <w:t>,</w:t>
      </w:r>
      <w:r>
        <w:rPr>
          <w:rFonts w:hint="eastAsia"/>
          <w:highlight w:val="none"/>
          <w:lang w:val="en-US" w:eastAsia="zh-CN"/>
        </w:rPr>
        <w:t>0</w:t>
      </w:r>
      <w:r>
        <w:rPr>
          <w:highlight w:val="none"/>
        </w:rPr>
        <w:t>00万元（含）且不超过人民币</w:t>
      </w:r>
      <w:r>
        <w:rPr>
          <w:rFonts w:hint="eastAsia"/>
          <w:highlight w:val="none"/>
          <w:lang w:val="en-US" w:eastAsia="zh-CN"/>
        </w:rPr>
        <w:t>2</w:t>
      </w:r>
      <w:r>
        <w:rPr>
          <w:highlight w:val="none"/>
        </w:rPr>
        <w:t>,</w:t>
      </w:r>
      <w:r>
        <w:rPr>
          <w:rFonts w:hint="eastAsia"/>
          <w:highlight w:val="none"/>
          <w:lang w:val="en-US" w:eastAsia="zh-CN"/>
        </w:rPr>
        <w:t>0</w:t>
      </w:r>
      <w:r>
        <w:rPr>
          <w:highlight w:val="none"/>
        </w:rPr>
        <w:t>00万元（含），具体回购股份的资金总额以回购期限期满或回购实施完成时实际回购股份的金额为准，本次回购</w:t>
      </w:r>
      <w:r>
        <w:rPr>
          <w:rFonts w:hint="eastAsia"/>
          <w:highlight w:val="none"/>
        </w:rPr>
        <w:t>资金来源为公司自有资金。</w:t>
      </w:r>
    </w:p>
    <w:p>
      <w:pPr>
        <w:pStyle w:val="17"/>
        <w:spacing w:before="156" w:beforeLines="50" w:line="360" w:lineRule="auto"/>
        <w:ind w:firstLine="472" w:firstLineChars="196"/>
        <w:rPr>
          <w:rFonts w:hAnsi="宋体"/>
          <w:b/>
          <w:highlight w:val="none"/>
        </w:rPr>
      </w:pPr>
      <w:r>
        <w:rPr>
          <w:rFonts w:hint="eastAsia" w:hAnsi="宋体"/>
          <w:b/>
          <w:highlight w:val="none"/>
        </w:rPr>
        <w:t>五、拟回购股份的种类、数量及占总股本的比例</w:t>
      </w:r>
    </w:p>
    <w:p>
      <w:pPr>
        <w:pStyle w:val="17"/>
        <w:spacing w:line="360" w:lineRule="auto"/>
        <w:ind w:firstLine="470" w:firstLineChars="196"/>
        <w:rPr>
          <w:rFonts w:hAnsi="宋体"/>
          <w:b/>
          <w:highlight w:val="none"/>
        </w:rPr>
      </w:pPr>
      <w:r>
        <w:rPr>
          <w:highlight w:val="none"/>
        </w:rPr>
        <w:t>回购股份的种类：人民币普通股（A 股）；</w:t>
      </w:r>
      <w:r>
        <w:rPr>
          <w:rFonts w:hAnsi="宋体"/>
          <w:b/>
          <w:highlight w:val="none"/>
        </w:rPr>
        <w:t xml:space="preserve"> </w:t>
      </w:r>
    </w:p>
    <w:p>
      <w:pPr>
        <w:pStyle w:val="17"/>
        <w:spacing w:line="360" w:lineRule="auto"/>
        <w:ind w:firstLine="480" w:firstLineChars="200"/>
        <w:rPr>
          <w:highlight w:val="none"/>
        </w:rPr>
      </w:pPr>
      <w:r>
        <w:rPr>
          <w:rFonts w:hint="eastAsia"/>
          <w:highlight w:val="none"/>
        </w:rPr>
        <w:t>本次回购股份价格不超过人民币 15.</w:t>
      </w:r>
      <w:r>
        <w:rPr>
          <w:rFonts w:hint="eastAsia"/>
          <w:highlight w:val="none"/>
          <w:lang w:val="en-US" w:eastAsia="zh-CN"/>
        </w:rPr>
        <w:t>0</w:t>
      </w:r>
      <w:r>
        <w:rPr>
          <w:rFonts w:hint="eastAsia"/>
          <w:highlight w:val="none"/>
        </w:rPr>
        <w:t>0 元/股。</w:t>
      </w:r>
      <w:r>
        <w:rPr>
          <w:rFonts w:hint="default" w:ascii="宋体" w:cs="宋体"/>
          <w:color w:val="000000"/>
          <w:kern w:val="0"/>
          <w:sz w:val="24"/>
          <w:szCs w:val="24"/>
          <w:highlight w:val="none"/>
          <w:lang w:val="en-US" w:eastAsia="zh-CN"/>
        </w:rPr>
        <w:t xml:space="preserve">按本次回购资金最高人民币 </w:t>
      </w:r>
      <w:r>
        <w:rPr>
          <w:rFonts w:hint="eastAsia" w:ascii="宋体" w:cs="宋体"/>
          <w:color w:val="000000"/>
          <w:kern w:val="0"/>
          <w:sz w:val="24"/>
          <w:szCs w:val="24"/>
          <w:highlight w:val="none"/>
          <w:lang w:val="en-US" w:eastAsia="zh-CN"/>
        </w:rPr>
        <w:t>2</w:t>
      </w:r>
      <w:r>
        <w:rPr>
          <w:rFonts w:hint="default" w:ascii="宋体" w:cs="宋体"/>
          <w:color w:val="000000"/>
          <w:kern w:val="0"/>
          <w:sz w:val="24"/>
          <w:szCs w:val="24"/>
          <w:highlight w:val="none"/>
          <w:lang w:val="en-US" w:eastAsia="zh-CN"/>
        </w:rPr>
        <w:t>,000 万元测算，预计可回购股份数量约为</w:t>
      </w:r>
      <w:r>
        <w:rPr>
          <w:rFonts w:hint="eastAsia" w:ascii="宋体" w:cs="宋体"/>
          <w:color w:val="000000"/>
          <w:kern w:val="0"/>
          <w:sz w:val="24"/>
          <w:szCs w:val="24"/>
          <w:highlight w:val="none"/>
          <w:lang w:val="en-US" w:eastAsia="zh-CN"/>
        </w:rPr>
        <w:t>1,333,333</w:t>
      </w:r>
      <w:r>
        <w:rPr>
          <w:rFonts w:hint="default" w:ascii="宋体" w:cs="宋体"/>
          <w:color w:val="000000"/>
          <w:kern w:val="0"/>
          <w:sz w:val="24"/>
          <w:szCs w:val="24"/>
          <w:highlight w:val="none"/>
          <w:lang w:val="en-US" w:eastAsia="zh-CN"/>
        </w:rPr>
        <w:t>股，约占公司目前总股本的 0.</w:t>
      </w:r>
      <w:r>
        <w:rPr>
          <w:rFonts w:hint="eastAsia" w:ascii="宋体" w:cs="宋体"/>
          <w:color w:val="000000"/>
          <w:kern w:val="0"/>
          <w:sz w:val="24"/>
          <w:szCs w:val="24"/>
          <w:highlight w:val="none"/>
          <w:lang w:val="en-US" w:eastAsia="zh-CN"/>
        </w:rPr>
        <w:t>61</w:t>
      </w:r>
      <w:r>
        <w:rPr>
          <w:rFonts w:hint="default" w:ascii="宋体" w:cs="宋体"/>
          <w:color w:val="000000"/>
          <w:kern w:val="0"/>
          <w:sz w:val="24"/>
          <w:szCs w:val="24"/>
          <w:highlight w:val="none"/>
          <w:lang w:val="en-US" w:eastAsia="zh-CN"/>
        </w:rPr>
        <w:t xml:space="preserve">%；按本次回购资金最低人民币 </w:t>
      </w:r>
      <w:r>
        <w:rPr>
          <w:rFonts w:hint="eastAsia" w:ascii="宋体" w:cs="宋体"/>
          <w:color w:val="000000"/>
          <w:kern w:val="0"/>
          <w:sz w:val="24"/>
          <w:szCs w:val="24"/>
          <w:highlight w:val="none"/>
          <w:lang w:val="en-US" w:eastAsia="zh-CN"/>
        </w:rPr>
        <w:t>1,0</w:t>
      </w:r>
      <w:r>
        <w:rPr>
          <w:rFonts w:hint="default" w:ascii="宋体" w:cs="宋体"/>
          <w:color w:val="000000"/>
          <w:kern w:val="0"/>
          <w:sz w:val="24"/>
          <w:szCs w:val="24"/>
          <w:highlight w:val="none"/>
          <w:lang w:val="en-US" w:eastAsia="zh-CN"/>
        </w:rPr>
        <w:t>00 万元测算，预计可回购股份数量约为</w:t>
      </w:r>
      <w:r>
        <w:rPr>
          <w:rFonts w:hint="eastAsia" w:ascii="宋体" w:cs="宋体"/>
          <w:color w:val="000000"/>
          <w:kern w:val="0"/>
          <w:sz w:val="24"/>
          <w:szCs w:val="24"/>
          <w:highlight w:val="none"/>
          <w:lang w:val="en-US" w:eastAsia="zh-CN"/>
        </w:rPr>
        <w:t>666,666</w:t>
      </w:r>
      <w:r>
        <w:rPr>
          <w:rFonts w:hint="default" w:ascii="宋体" w:cs="宋体"/>
          <w:color w:val="000000"/>
          <w:kern w:val="0"/>
          <w:sz w:val="24"/>
          <w:szCs w:val="24"/>
          <w:highlight w:val="none"/>
          <w:lang w:val="en-US" w:eastAsia="zh-CN"/>
        </w:rPr>
        <w:t>股，约占公司目前总股本的 0.</w:t>
      </w:r>
      <w:r>
        <w:rPr>
          <w:rFonts w:hint="eastAsia" w:ascii="宋体" w:cs="宋体"/>
          <w:color w:val="000000"/>
          <w:kern w:val="0"/>
          <w:sz w:val="24"/>
          <w:szCs w:val="24"/>
          <w:highlight w:val="none"/>
          <w:lang w:val="en-US" w:eastAsia="zh-CN"/>
        </w:rPr>
        <w:t>30</w:t>
      </w:r>
      <w:r>
        <w:rPr>
          <w:rFonts w:hint="default" w:ascii="宋体" w:cs="宋体"/>
          <w:color w:val="000000"/>
          <w:kern w:val="0"/>
          <w:sz w:val="24"/>
          <w:szCs w:val="24"/>
          <w:highlight w:val="none"/>
          <w:lang w:val="en-US" w:eastAsia="zh-CN"/>
        </w:rPr>
        <w:t>%。</w:t>
      </w:r>
      <w:r>
        <w:rPr>
          <w:rFonts w:hint="eastAsia"/>
          <w:highlight w:val="none"/>
        </w:rPr>
        <w:t>具体回购股份的数量和回购金额以回购期限届满时实际回购的股份数量和回购金额为准。</w:t>
      </w:r>
    </w:p>
    <w:p>
      <w:pPr>
        <w:pStyle w:val="17"/>
        <w:spacing w:line="360" w:lineRule="auto"/>
        <w:ind w:firstLine="480" w:firstLineChars="200"/>
        <w:rPr>
          <w:rFonts w:hint="eastAsia"/>
          <w:highlight w:val="none"/>
        </w:rPr>
      </w:pPr>
      <w:r>
        <w:rPr>
          <w:highlight w:val="none"/>
        </w:rPr>
        <w:t>若公司在回购期内发生送股、转增股本或现金分红等除权除息事项，自股票 除权除息之日起，相应调整回购股份数量。</w:t>
      </w:r>
    </w:p>
    <w:p>
      <w:pPr>
        <w:pStyle w:val="17"/>
        <w:spacing w:before="156" w:beforeLines="50" w:line="360" w:lineRule="auto"/>
        <w:ind w:firstLine="472" w:firstLineChars="196"/>
        <w:rPr>
          <w:rFonts w:hAnsi="宋体"/>
          <w:b/>
          <w:highlight w:val="none"/>
        </w:rPr>
      </w:pPr>
      <w:r>
        <w:rPr>
          <w:rFonts w:hint="eastAsia" w:hAnsi="宋体"/>
          <w:b/>
          <w:highlight w:val="none"/>
        </w:rPr>
        <w:t>六、回购股份的实施期限</w:t>
      </w:r>
      <w:r>
        <w:rPr>
          <w:rFonts w:hAnsi="宋体"/>
          <w:b/>
          <w:highlight w:val="none"/>
        </w:rPr>
        <w:t xml:space="preserve"> </w:t>
      </w:r>
    </w:p>
    <w:p>
      <w:pPr>
        <w:pStyle w:val="17"/>
        <w:spacing w:line="360" w:lineRule="auto"/>
        <w:ind w:firstLine="480" w:firstLineChars="200"/>
        <w:rPr>
          <w:highlight w:val="none"/>
        </w:rPr>
      </w:pPr>
      <w:r>
        <w:rPr>
          <w:rFonts w:hint="eastAsia"/>
          <w:highlight w:val="none"/>
        </w:rPr>
        <w:t>本次回购股份的期限为</w:t>
      </w:r>
      <w:r>
        <w:rPr>
          <w:highlight w:val="none"/>
        </w:rPr>
        <w:t>自董事会审议通过本次回购股份方案之日起</w:t>
      </w:r>
      <w:r>
        <w:rPr>
          <w:rFonts w:hint="eastAsia"/>
          <w:highlight w:val="none"/>
          <w:lang w:val="en-US" w:eastAsia="zh-CN"/>
        </w:rPr>
        <w:t>3</w:t>
      </w:r>
      <w:r>
        <w:rPr>
          <w:highlight w:val="none"/>
        </w:rPr>
        <w:t>个</w:t>
      </w:r>
      <w:r>
        <w:rPr>
          <w:rFonts w:hint="eastAsia"/>
          <w:highlight w:val="none"/>
          <w:lang w:val="en-US" w:eastAsia="zh-CN"/>
        </w:rPr>
        <w:t>月</w:t>
      </w:r>
      <w:r>
        <w:rPr>
          <w:highlight w:val="none"/>
        </w:rPr>
        <w:t>内。回购方案实施期间，</w:t>
      </w:r>
      <w:r>
        <w:rPr>
          <w:rFonts w:hint="eastAsia"/>
          <w:highlight w:val="none"/>
        </w:rPr>
        <w:t>若公司股票因筹划重大事项发生停牌的情形，公司将在股票复牌后对回购方案顺延实施并及时披露。</w:t>
      </w:r>
      <w:r>
        <w:rPr>
          <w:highlight w:val="none"/>
        </w:rPr>
        <w:t>顺延后不得超出中国证监会及深交所规定的最长期限。</w:t>
      </w:r>
      <w:r>
        <w:rPr>
          <w:rFonts w:hint="eastAsia"/>
          <w:highlight w:val="none"/>
        </w:rPr>
        <w:t>如果触及以下条件，则回购期限提前届满：</w:t>
      </w:r>
      <w:r>
        <w:rPr>
          <w:highlight w:val="none"/>
        </w:rPr>
        <w:t xml:space="preserve"> </w:t>
      </w:r>
    </w:p>
    <w:p>
      <w:pPr>
        <w:pStyle w:val="17"/>
        <w:numPr>
          <w:ilvl w:val="0"/>
          <w:numId w:val="3"/>
        </w:numPr>
        <w:spacing w:line="360" w:lineRule="auto"/>
        <w:ind w:firstLine="480" w:firstLineChars="200"/>
        <w:rPr>
          <w:rFonts w:hint="eastAsia"/>
          <w:highlight w:val="none"/>
        </w:rPr>
      </w:pPr>
      <w:r>
        <w:rPr>
          <w:rFonts w:hint="eastAsia"/>
          <w:highlight w:val="none"/>
        </w:rPr>
        <w:t>如果在此期间内回购资金使用金额达到最高限额，则回购方案实施完毕，即回购期限自该日起提前届满。</w:t>
      </w:r>
    </w:p>
    <w:p>
      <w:pPr>
        <w:pStyle w:val="17"/>
        <w:numPr>
          <w:ilvl w:val="0"/>
          <w:numId w:val="3"/>
        </w:numPr>
        <w:spacing w:line="360" w:lineRule="auto"/>
        <w:ind w:firstLine="480" w:firstLineChars="200"/>
        <w:rPr>
          <w:rFonts w:hint="eastAsia"/>
          <w:highlight w:val="none"/>
        </w:rPr>
      </w:pPr>
      <w:r>
        <w:rPr>
          <w:rFonts w:hint="eastAsia"/>
          <w:highlight w:val="none"/>
        </w:rPr>
        <w:t>在回购期限内，公司回购资金使用金额达到最低限额，董事会可以决定提前结束本次股份回购方案</w:t>
      </w:r>
      <w:r>
        <w:rPr>
          <w:rFonts w:hint="eastAsia"/>
          <w:highlight w:val="none"/>
          <w:lang w:eastAsia="zh-CN"/>
        </w:rPr>
        <w:t>。</w:t>
      </w:r>
    </w:p>
    <w:p>
      <w:pPr>
        <w:pStyle w:val="17"/>
        <w:numPr>
          <w:ilvl w:val="0"/>
          <w:numId w:val="3"/>
        </w:numPr>
        <w:spacing w:line="360" w:lineRule="auto"/>
        <w:ind w:left="0" w:leftChars="0" w:firstLine="480" w:firstLineChars="200"/>
        <w:rPr>
          <w:highlight w:val="none"/>
        </w:rPr>
      </w:pPr>
      <w:r>
        <w:rPr>
          <w:highlight w:val="none"/>
        </w:rPr>
        <w:t>如公司董事会决定终止本回购方案，则回购期限自董事会决议终止本回购方案之日起提前届满。</w:t>
      </w:r>
    </w:p>
    <w:p>
      <w:pPr>
        <w:pStyle w:val="17"/>
        <w:numPr>
          <w:ilvl w:val="0"/>
          <w:numId w:val="3"/>
        </w:numPr>
        <w:spacing w:line="360" w:lineRule="auto"/>
        <w:ind w:left="0" w:leftChars="0" w:firstLine="480" w:firstLineChars="200"/>
        <w:rPr>
          <w:highlight w:val="none"/>
        </w:rPr>
      </w:pPr>
      <w:r>
        <w:rPr>
          <w:rFonts w:hint="eastAsia"/>
          <w:highlight w:val="none"/>
        </w:rPr>
        <w:t>不得实施回购的期间：（1）自可能对本公司证券及其衍生品种交易价格产生重大影响的重大事项发生之日或者在决策过程中至依法披露之日内；（2）中国证监会规定的其他情形。</w:t>
      </w:r>
    </w:p>
    <w:p>
      <w:pPr>
        <w:pStyle w:val="17"/>
        <w:spacing w:line="360" w:lineRule="auto"/>
        <w:ind w:firstLine="480" w:firstLineChars="200"/>
        <w:rPr>
          <w:rFonts w:hint="eastAsia"/>
          <w:highlight w:val="none"/>
        </w:rPr>
      </w:pPr>
      <w:r>
        <w:rPr>
          <w:highlight w:val="none"/>
        </w:rPr>
        <w:t>公司将根据董事会的授权，在回购期限内根据市场情况择机作出回购决策并 予以实施。</w:t>
      </w:r>
    </w:p>
    <w:p>
      <w:pPr>
        <w:pStyle w:val="17"/>
        <w:spacing w:before="156" w:beforeLines="50" w:line="360" w:lineRule="auto"/>
        <w:ind w:firstLine="472" w:firstLineChars="196"/>
        <w:rPr>
          <w:rFonts w:hAnsi="宋体"/>
          <w:b/>
          <w:highlight w:val="none"/>
        </w:rPr>
      </w:pPr>
      <w:r>
        <w:rPr>
          <w:rFonts w:hint="eastAsia" w:hAnsi="宋体"/>
          <w:b/>
          <w:highlight w:val="none"/>
        </w:rPr>
        <w:t>七、预计回购后上市公司股权结构的变动情况</w:t>
      </w:r>
      <w:r>
        <w:rPr>
          <w:rFonts w:hAnsi="宋体"/>
          <w:b/>
          <w:highlight w:val="none"/>
        </w:rPr>
        <w:t xml:space="preserve"> </w:t>
      </w:r>
    </w:p>
    <w:p>
      <w:pPr>
        <w:pStyle w:val="17"/>
        <w:spacing w:line="360" w:lineRule="auto"/>
        <w:ind w:firstLine="470" w:firstLineChars="196"/>
        <w:rPr>
          <w:rFonts w:hint="eastAsia"/>
          <w:highlight w:val="none"/>
        </w:rPr>
      </w:pPr>
      <w:r>
        <w:rPr>
          <w:rFonts w:hint="eastAsia"/>
          <w:highlight w:val="none"/>
        </w:rPr>
        <w:t>以当前公司总股本</w:t>
      </w:r>
      <w:r>
        <w:rPr>
          <w:rFonts w:hint="eastAsia"/>
          <w:highlight w:val="none"/>
          <w:lang w:val="en-US" w:eastAsia="zh-CN"/>
        </w:rPr>
        <w:t>219,989,902</w:t>
      </w:r>
      <w:r>
        <w:rPr>
          <w:rFonts w:hint="eastAsia"/>
          <w:highlight w:val="none"/>
        </w:rPr>
        <w:t>股为基础，按照本次回购资金总额不超过人民币</w:t>
      </w:r>
      <w:r>
        <w:rPr>
          <w:rFonts w:hint="eastAsia"/>
          <w:highlight w:val="none"/>
          <w:lang w:val="en-US" w:eastAsia="zh-CN"/>
        </w:rPr>
        <w:t>1</w:t>
      </w:r>
      <w:r>
        <w:rPr>
          <w:rFonts w:hint="eastAsia"/>
          <w:highlight w:val="none"/>
        </w:rPr>
        <w:t>,</w:t>
      </w:r>
      <w:r>
        <w:rPr>
          <w:rFonts w:hint="eastAsia"/>
          <w:highlight w:val="none"/>
          <w:lang w:val="en-US" w:eastAsia="zh-CN"/>
        </w:rPr>
        <w:t>0</w:t>
      </w:r>
      <w:r>
        <w:rPr>
          <w:rFonts w:hint="eastAsia"/>
          <w:highlight w:val="none"/>
        </w:rPr>
        <w:t>00万元且不低于人民币</w:t>
      </w:r>
      <w:r>
        <w:rPr>
          <w:rFonts w:hint="eastAsia"/>
          <w:highlight w:val="none"/>
          <w:lang w:val="en-US" w:eastAsia="zh-CN"/>
        </w:rPr>
        <w:t>2</w:t>
      </w:r>
      <w:r>
        <w:rPr>
          <w:rFonts w:hint="eastAsia"/>
          <w:highlight w:val="none"/>
        </w:rPr>
        <w:t>,</w:t>
      </w:r>
      <w:r>
        <w:rPr>
          <w:rFonts w:hint="eastAsia"/>
          <w:highlight w:val="none"/>
          <w:lang w:val="en-US" w:eastAsia="zh-CN"/>
        </w:rPr>
        <w:t>0</w:t>
      </w:r>
      <w:r>
        <w:rPr>
          <w:rFonts w:hint="eastAsia"/>
          <w:highlight w:val="none"/>
        </w:rPr>
        <w:t>00万元，回购价格上限人民币</w:t>
      </w:r>
      <w:r>
        <w:rPr>
          <w:rFonts w:hint="eastAsia"/>
          <w:highlight w:val="none"/>
          <w:lang w:val="en-US" w:eastAsia="zh-CN"/>
        </w:rPr>
        <w:t>15</w:t>
      </w:r>
      <w:r>
        <w:rPr>
          <w:rFonts w:hint="eastAsia"/>
          <w:highlight w:val="none"/>
        </w:rPr>
        <w:t>.</w:t>
      </w:r>
      <w:r>
        <w:rPr>
          <w:rFonts w:hint="eastAsia"/>
          <w:highlight w:val="none"/>
          <w:lang w:val="en-US" w:eastAsia="zh-CN"/>
        </w:rPr>
        <w:t>0</w:t>
      </w:r>
      <w:r>
        <w:rPr>
          <w:rFonts w:hint="eastAsia"/>
          <w:highlight w:val="none"/>
        </w:rPr>
        <w:t>0元/股进行测算，若回购股份全部实现出售，则公司总股本及股权结构不发生变化；若回购股份未能实现出售，导致全部被注销，则回购前后公司股本结构变化情况如下：</w:t>
      </w:r>
      <w:r>
        <w:rPr>
          <w:rFonts w:hint="eastAsia" w:cs="Times New Roman"/>
          <w:color w:val="auto"/>
          <w:sz w:val="28"/>
          <w:szCs w:val="28"/>
          <w:highlight w:val="none"/>
        </w:rPr>
        <w:t xml:space="preserve">   </w:t>
      </w:r>
    </w:p>
    <w:tbl>
      <w:tblPr>
        <w:tblStyle w:val="8"/>
        <w:tblW w:w="89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28"/>
        <w:gridCol w:w="1176"/>
        <w:gridCol w:w="1332"/>
        <w:gridCol w:w="960"/>
        <w:gridCol w:w="129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64" w:type="dxa"/>
            <w:vMerge w:val="restart"/>
            <w:noWrap w:val="0"/>
            <w:vAlign w:val="center"/>
          </w:tcPr>
          <w:p>
            <w:pPr>
              <w:pStyle w:val="17"/>
              <w:jc w:val="center"/>
              <w:rPr>
                <w:rFonts w:hint="eastAsia" w:cs="Times New Roman"/>
                <w:b/>
                <w:color w:val="auto"/>
                <w:sz w:val="23"/>
                <w:szCs w:val="23"/>
                <w:highlight w:val="none"/>
              </w:rPr>
            </w:pPr>
            <w:r>
              <w:rPr>
                <w:rFonts w:hint="eastAsia" w:cs="Times New Roman"/>
                <w:b/>
                <w:color w:val="auto"/>
                <w:sz w:val="23"/>
                <w:szCs w:val="23"/>
                <w:highlight w:val="none"/>
              </w:rPr>
              <w:t>股份类别</w:t>
            </w:r>
          </w:p>
        </w:tc>
        <w:tc>
          <w:tcPr>
            <w:tcW w:w="2604" w:type="dxa"/>
            <w:gridSpan w:val="2"/>
            <w:noWrap w:val="0"/>
            <w:vAlign w:val="center"/>
          </w:tcPr>
          <w:p>
            <w:pPr>
              <w:pStyle w:val="17"/>
              <w:jc w:val="center"/>
              <w:rPr>
                <w:b/>
                <w:sz w:val="22"/>
                <w:szCs w:val="22"/>
                <w:highlight w:val="none"/>
              </w:rPr>
            </w:pPr>
            <w:r>
              <w:rPr>
                <w:rFonts w:hint="eastAsia"/>
                <w:b/>
                <w:sz w:val="22"/>
                <w:szCs w:val="22"/>
                <w:highlight w:val="none"/>
              </w:rPr>
              <w:t>回购前</w:t>
            </w:r>
          </w:p>
        </w:tc>
        <w:tc>
          <w:tcPr>
            <w:tcW w:w="4500" w:type="dxa"/>
            <w:gridSpan w:val="4"/>
            <w:noWrap w:val="0"/>
            <w:vAlign w:val="center"/>
          </w:tcPr>
          <w:p>
            <w:pPr>
              <w:pStyle w:val="17"/>
              <w:jc w:val="center"/>
              <w:rPr>
                <w:b/>
                <w:sz w:val="22"/>
                <w:szCs w:val="22"/>
                <w:highlight w:val="none"/>
              </w:rPr>
            </w:pPr>
            <w:r>
              <w:rPr>
                <w:rFonts w:hint="eastAsia"/>
                <w:b/>
                <w:sz w:val="22"/>
                <w:szCs w:val="22"/>
                <w:highlight w:val="none"/>
              </w:rPr>
              <w:t>回购后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64" w:type="dxa"/>
            <w:vMerge w:val="continue"/>
            <w:shd w:val="clear" w:color="auto" w:fill="B3B3B3"/>
            <w:noWrap w:val="0"/>
            <w:vAlign w:val="top"/>
          </w:tcPr>
          <w:p>
            <w:pPr>
              <w:pStyle w:val="17"/>
              <w:rPr>
                <w:rFonts w:hint="eastAsia"/>
                <w:sz w:val="22"/>
                <w:szCs w:val="22"/>
                <w:highlight w:val="none"/>
              </w:rPr>
            </w:pPr>
          </w:p>
        </w:tc>
        <w:tc>
          <w:tcPr>
            <w:tcW w:w="1428" w:type="dxa"/>
            <w:vMerge w:val="restart"/>
            <w:noWrap w:val="0"/>
            <w:vAlign w:val="center"/>
          </w:tcPr>
          <w:p>
            <w:pPr>
              <w:pStyle w:val="17"/>
              <w:jc w:val="center"/>
              <w:rPr>
                <w:b/>
                <w:sz w:val="22"/>
                <w:szCs w:val="22"/>
                <w:highlight w:val="none"/>
              </w:rPr>
            </w:pPr>
            <w:r>
              <w:rPr>
                <w:rFonts w:hint="eastAsia"/>
                <w:b/>
                <w:sz w:val="22"/>
                <w:szCs w:val="22"/>
                <w:highlight w:val="none"/>
              </w:rPr>
              <w:t>股份数量（股）</w:t>
            </w:r>
          </w:p>
        </w:tc>
        <w:tc>
          <w:tcPr>
            <w:tcW w:w="1176" w:type="dxa"/>
            <w:vMerge w:val="restart"/>
            <w:noWrap w:val="0"/>
            <w:vAlign w:val="center"/>
          </w:tcPr>
          <w:p>
            <w:pPr>
              <w:pStyle w:val="17"/>
              <w:jc w:val="center"/>
              <w:rPr>
                <w:b/>
                <w:sz w:val="22"/>
                <w:szCs w:val="22"/>
                <w:highlight w:val="none"/>
              </w:rPr>
            </w:pPr>
            <w:r>
              <w:rPr>
                <w:rFonts w:hint="eastAsia"/>
                <w:b/>
                <w:sz w:val="22"/>
                <w:szCs w:val="22"/>
                <w:highlight w:val="none"/>
              </w:rPr>
              <w:t>比例</w:t>
            </w:r>
          </w:p>
        </w:tc>
        <w:tc>
          <w:tcPr>
            <w:tcW w:w="2292" w:type="dxa"/>
            <w:gridSpan w:val="2"/>
            <w:noWrap w:val="0"/>
            <w:vAlign w:val="center"/>
          </w:tcPr>
          <w:p>
            <w:pPr>
              <w:pStyle w:val="17"/>
              <w:jc w:val="center"/>
              <w:rPr>
                <w:rFonts w:hint="default" w:eastAsia="宋体"/>
                <w:b/>
                <w:sz w:val="22"/>
                <w:szCs w:val="22"/>
                <w:highlight w:val="none"/>
                <w:lang w:val="en-US" w:eastAsia="zh-CN"/>
              </w:rPr>
            </w:pPr>
            <w:r>
              <w:rPr>
                <w:rFonts w:hint="eastAsia"/>
                <w:b/>
                <w:sz w:val="22"/>
                <w:szCs w:val="22"/>
                <w:highlight w:val="none"/>
                <w:lang w:val="en-US" w:eastAsia="zh-CN"/>
              </w:rPr>
              <w:t>按预计回购数量下限</w:t>
            </w:r>
          </w:p>
        </w:tc>
        <w:tc>
          <w:tcPr>
            <w:tcW w:w="2208" w:type="dxa"/>
            <w:gridSpan w:val="2"/>
            <w:noWrap w:val="0"/>
            <w:vAlign w:val="center"/>
          </w:tcPr>
          <w:p>
            <w:pPr>
              <w:pStyle w:val="17"/>
              <w:jc w:val="center"/>
              <w:rPr>
                <w:b/>
                <w:sz w:val="22"/>
                <w:szCs w:val="22"/>
                <w:highlight w:val="none"/>
              </w:rPr>
            </w:pPr>
            <w:r>
              <w:rPr>
                <w:rFonts w:hint="eastAsia"/>
                <w:b/>
                <w:sz w:val="22"/>
                <w:szCs w:val="22"/>
                <w:highlight w:val="none"/>
                <w:lang w:val="en-US" w:eastAsia="zh-CN"/>
              </w:rPr>
              <w:t>按预计回购数量上限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64" w:type="dxa"/>
            <w:vMerge w:val="continue"/>
            <w:shd w:val="clear" w:color="auto" w:fill="B3B3B3"/>
            <w:noWrap w:val="0"/>
            <w:vAlign w:val="top"/>
          </w:tcPr>
          <w:p>
            <w:pPr>
              <w:pStyle w:val="17"/>
              <w:rPr>
                <w:rFonts w:hint="eastAsia"/>
                <w:sz w:val="22"/>
                <w:szCs w:val="22"/>
                <w:highlight w:val="none"/>
              </w:rPr>
            </w:pPr>
          </w:p>
        </w:tc>
        <w:tc>
          <w:tcPr>
            <w:tcW w:w="1428" w:type="dxa"/>
            <w:vMerge w:val="continue"/>
            <w:noWrap w:val="0"/>
            <w:vAlign w:val="center"/>
          </w:tcPr>
          <w:p>
            <w:pPr>
              <w:pStyle w:val="17"/>
              <w:jc w:val="center"/>
              <w:rPr>
                <w:rFonts w:hint="eastAsia"/>
                <w:b/>
                <w:sz w:val="22"/>
                <w:szCs w:val="22"/>
                <w:highlight w:val="none"/>
              </w:rPr>
            </w:pPr>
          </w:p>
        </w:tc>
        <w:tc>
          <w:tcPr>
            <w:tcW w:w="1176" w:type="dxa"/>
            <w:vMerge w:val="continue"/>
            <w:noWrap w:val="0"/>
            <w:vAlign w:val="center"/>
          </w:tcPr>
          <w:p>
            <w:pPr>
              <w:pStyle w:val="17"/>
              <w:jc w:val="center"/>
              <w:rPr>
                <w:rFonts w:hint="eastAsia"/>
                <w:b/>
                <w:sz w:val="22"/>
                <w:szCs w:val="22"/>
                <w:highlight w:val="none"/>
              </w:rPr>
            </w:pPr>
          </w:p>
        </w:tc>
        <w:tc>
          <w:tcPr>
            <w:tcW w:w="1332" w:type="dxa"/>
            <w:noWrap w:val="0"/>
            <w:vAlign w:val="center"/>
          </w:tcPr>
          <w:p>
            <w:pPr>
              <w:pStyle w:val="17"/>
              <w:jc w:val="center"/>
              <w:rPr>
                <w:rFonts w:hint="eastAsia" w:ascii="宋体" w:cs="宋体"/>
                <w:b/>
                <w:color w:val="000000"/>
                <w:sz w:val="22"/>
                <w:szCs w:val="22"/>
                <w:highlight w:val="none"/>
                <w:lang w:val="en-US" w:eastAsia="zh-CN" w:bidi="ar-SA"/>
              </w:rPr>
            </w:pPr>
            <w:r>
              <w:rPr>
                <w:rFonts w:hint="eastAsia"/>
                <w:b/>
                <w:sz w:val="22"/>
                <w:szCs w:val="22"/>
                <w:highlight w:val="none"/>
              </w:rPr>
              <w:t>股份数量（股）</w:t>
            </w:r>
          </w:p>
        </w:tc>
        <w:tc>
          <w:tcPr>
            <w:tcW w:w="960" w:type="dxa"/>
            <w:noWrap w:val="0"/>
            <w:vAlign w:val="center"/>
          </w:tcPr>
          <w:p>
            <w:pPr>
              <w:pStyle w:val="17"/>
              <w:jc w:val="center"/>
              <w:rPr>
                <w:rFonts w:hint="eastAsia" w:ascii="宋体" w:cs="宋体"/>
                <w:b/>
                <w:color w:val="000000"/>
                <w:sz w:val="22"/>
                <w:szCs w:val="22"/>
                <w:highlight w:val="none"/>
                <w:lang w:val="en-US" w:eastAsia="zh-CN" w:bidi="ar-SA"/>
              </w:rPr>
            </w:pPr>
            <w:r>
              <w:rPr>
                <w:rFonts w:hint="eastAsia"/>
                <w:b/>
                <w:sz w:val="22"/>
                <w:szCs w:val="22"/>
                <w:highlight w:val="none"/>
              </w:rPr>
              <w:t>比例</w:t>
            </w:r>
          </w:p>
        </w:tc>
        <w:tc>
          <w:tcPr>
            <w:tcW w:w="1296" w:type="dxa"/>
            <w:noWrap w:val="0"/>
            <w:vAlign w:val="center"/>
          </w:tcPr>
          <w:p>
            <w:pPr>
              <w:pStyle w:val="17"/>
              <w:jc w:val="center"/>
              <w:rPr>
                <w:rFonts w:hint="eastAsia" w:ascii="宋体" w:cs="宋体"/>
                <w:b/>
                <w:color w:val="000000"/>
                <w:sz w:val="22"/>
                <w:szCs w:val="22"/>
                <w:highlight w:val="none"/>
                <w:lang w:val="en-US" w:eastAsia="zh-CN" w:bidi="ar-SA"/>
              </w:rPr>
            </w:pPr>
            <w:r>
              <w:rPr>
                <w:rFonts w:hint="eastAsia"/>
                <w:b/>
                <w:sz w:val="22"/>
                <w:szCs w:val="22"/>
                <w:highlight w:val="none"/>
              </w:rPr>
              <w:t>股份数量（股）</w:t>
            </w:r>
          </w:p>
        </w:tc>
        <w:tc>
          <w:tcPr>
            <w:tcW w:w="912" w:type="dxa"/>
            <w:noWrap w:val="0"/>
            <w:vAlign w:val="center"/>
          </w:tcPr>
          <w:p>
            <w:pPr>
              <w:pStyle w:val="17"/>
              <w:jc w:val="center"/>
              <w:rPr>
                <w:rFonts w:hint="eastAsia" w:ascii="宋体" w:cs="宋体"/>
                <w:b/>
                <w:color w:val="000000"/>
                <w:sz w:val="22"/>
                <w:szCs w:val="22"/>
                <w:highlight w:val="none"/>
                <w:lang w:val="en-US" w:eastAsia="zh-CN" w:bidi="ar-SA"/>
              </w:rPr>
            </w:pPr>
            <w:r>
              <w:rPr>
                <w:rFonts w:hint="eastAsia"/>
                <w:b/>
                <w:sz w:val="22"/>
                <w:szCs w:val="22"/>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64" w:type="dxa"/>
            <w:noWrap w:val="0"/>
            <w:vAlign w:val="center"/>
          </w:tcPr>
          <w:p>
            <w:pPr>
              <w:pStyle w:val="17"/>
              <w:jc w:val="center"/>
              <w:rPr>
                <w:rFonts w:hint="eastAsia"/>
                <w:sz w:val="22"/>
                <w:szCs w:val="22"/>
                <w:highlight w:val="none"/>
              </w:rPr>
            </w:pPr>
            <w:r>
              <w:rPr>
                <w:rFonts w:hint="eastAsia"/>
                <w:sz w:val="22"/>
                <w:szCs w:val="22"/>
                <w:highlight w:val="none"/>
              </w:rPr>
              <w:t>有限售条件股份</w:t>
            </w:r>
          </w:p>
        </w:tc>
        <w:tc>
          <w:tcPr>
            <w:tcW w:w="1428" w:type="dxa"/>
            <w:noWrap w:val="0"/>
            <w:vAlign w:val="center"/>
          </w:tcPr>
          <w:p>
            <w:pPr>
              <w:jc w:val="right"/>
              <w:rPr>
                <w:szCs w:val="21"/>
                <w:highlight w:val="none"/>
              </w:rPr>
            </w:pPr>
            <w:r>
              <w:rPr>
                <w:rFonts w:hint="eastAsia"/>
                <w:szCs w:val="21"/>
                <w:highlight w:val="none"/>
              </w:rPr>
              <w:t>56</w:t>
            </w:r>
            <w:r>
              <w:rPr>
                <w:rFonts w:hint="eastAsia"/>
                <w:szCs w:val="21"/>
                <w:highlight w:val="none"/>
                <w:lang w:val="en-US" w:eastAsia="zh-CN"/>
              </w:rPr>
              <w:t>,</w:t>
            </w:r>
            <w:r>
              <w:rPr>
                <w:rFonts w:hint="eastAsia"/>
                <w:szCs w:val="21"/>
                <w:highlight w:val="none"/>
              </w:rPr>
              <w:t>450</w:t>
            </w:r>
            <w:r>
              <w:rPr>
                <w:rFonts w:hint="eastAsia"/>
                <w:szCs w:val="21"/>
                <w:highlight w:val="none"/>
                <w:lang w:val="en-US" w:eastAsia="zh-CN"/>
              </w:rPr>
              <w:t>,</w:t>
            </w:r>
            <w:r>
              <w:rPr>
                <w:rFonts w:hint="eastAsia"/>
                <w:szCs w:val="21"/>
                <w:highlight w:val="none"/>
              </w:rPr>
              <w:t>957</w:t>
            </w:r>
          </w:p>
        </w:tc>
        <w:tc>
          <w:tcPr>
            <w:tcW w:w="1176" w:type="dxa"/>
            <w:noWrap w:val="0"/>
            <w:vAlign w:val="center"/>
          </w:tcPr>
          <w:p>
            <w:pPr>
              <w:pStyle w:val="17"/>
              <w:jc w:val="center"/>
              <w:rPr>
                <w:rFonts w:ascii="Times New Roman" w:cs="Times New Roman"/>
                <w:sz w:val="21"/>
                <w:szCs w:val="21"/>
                <w:highlight w:val="none"/>
              </w:rPr>
            </w:pPr>
            <w:r>
              <w:rPr>
                <w:rFonts w:ascii="Times New Roman" w:cs="Times New Roman"/>
                <w:sz w:val="21"/>
                <w:szCs w:val="21"/>
                <w:highlight w:val="none"/>
              </w:rPr>
              <w:t>2</w:t>
            </w:r>
            <w:r>
              <w:rPr>
                <w:rFonts w:hint="eastAsia" w:ascii="Times New Roman" w:cs="Times New Roman"/>
                <w:sz w:val="21"/>
                <w:szCs w:val="21"/>
                <w:highlight w:val="none"/>
                <w:lang w:val="en-US" w:eastAsia="zh-CN"/>
              </w:rPr>
              <w:t>5.66</w:t>
            </w:r>
            <w:r>
              <w:rPr>
                <w:rFonts w:hint="eastAsia" w:ascii="Times New Roman" w:cs="Times New Roman"/>
                <w:sz w:val="21"/>
                <w:szCs w:val="21"/>
                <w:highlight w:val="none"/>
              </w:rPr>
              <w:t>%</w:t>
            </w:r>
          </w:p>
        </w:tc>
        <w:tc>
          <w:tcPr>
            <w:tcW w:w="1332" w:type="dxa"/>
            <w:noWrap w:val="0"/>
            <w:vAlign w:val="center"/>
          </w:tcPr>
          <w:p>
            <w:pPr>
              <w:jc w:val="right"/>
              <w:rPr>
                <w:rFonts w:hint="eastAsia"/>
                <w:szCs w:val="21"/>
                <w:highlight w:val="none"/>
              </w:rPr>
            </w:pPr>
            <w:r>
              <w:rPr>
                <w:rFonts w:hint="eastAsia"/>
                <w:szCs w:val="21"/>
                <w:highlight w:val="none"/>
              </w:rPr>
              <w:t>56</w:t>
            </w:r>
            <w:r>
              <w:rPr>
                <w:rFonts w:hint="eastAsia"/>
                <w:szCs w:val="21"/>
                <w:highlight w:val="none"/>
                <w:lang w:val="en-US" w:eastAsia="zh-CN"/>
              </w:rPr>
              <w:t>,</w:t>
            </w:r>
            <w:r>
              <w:rPr>
                <w:rFonts w:hint="eastAsia"/>
                <w:szCs w:val="21"/>
                <w:highlight w:val="none"/>
              </w:rPr>
              <w:t>450</w:t>
            </w:r>
            <w:r>
              <w:rPr>
                <w:rFonts w:hint="eastAsia"/>
                <w:szCs w:val="21"/>
                <w:highlight w:val="none"/>
                <w:lang w:val="en-US" w:eastAsia="zh-CN"/>
              </w:rPr>
              <w:t>,</w:t>
            </w:r>
            <w:r>
              <w:rPr>
                <w:rFonts w:hint="eastAsia"/>
                <w:szCs w:val="21"/>
                <w:highlight w:val="none"/>
              </w:rPr>
              <w:t>957</w:t>
            </w:r>
          </w:p>
        </w:tc>
        <w:tc>
          <w:tcPr>
            <w:tcW w:w="960" w:type="dxa"/>
            <w:noWrap w:val="0"/>
            <w:vAlign w:val="center"/>
          </w:tcPr>
          <w:p>
            <w:pPr>
              <w:pStyle w:val="17"/>
              <w:jc w:val="center"/>
              <w:rPr>
                <w:rFonts w:ascii="Times New Roman" w:cs="Times New Roman"/>
                <w:sz w:val="21"/>
                <w:szCs w:val="21"/>
                <w:highlight w:val="none"/>
              </w:rPr>
            </w:pPr>
            <w:r>
              <w:rPr>
                <w:rFonts w:ascii="Times New Roman" w:cs="Times New Roman"/>
                <w:sz w:val="21"/>
                <w:szCs w:val="21"/>
                <w:highlight w:val="none"/>
              </w:rPr>
              <w:t>2</w:t>
            </w:r>
            <w:r>
              <w:rPr>
                <w:rFonts w:hint="eastAsia" w:ascii="Times New Roman" w:cs="Times New Roman"/>
                <w:sz w:val="21"/>
                <w:szCs w:val="21"/>
                <w:highlight w:val="none"/>
                <w:lang w:val="en-US" w:eastAsia="zh-CN"/>
              </w:rPr>
              <w:t>5.74</w:t>
            </w:r>
            <w:r>
              <w:rPr>
                <w:rFonts w:hint="eastAsia" w:ascii="Times New Roman" w:cs="Times New Roman"/>
                <w:sz w:val="21"/>
                <w:szCs w:val="21"/>
                <w:highlight w:val="none"/>
              </w:rPr>
              <w:t>%</w:t>
            </w:r>
          </w:p>
        </w:tc>
        <w:tc>
          <w:tcPr>
            <w:tcW w:w="1296" w:type="dxa"/>
            <w:noWrap w:val="0"/>
            <w:vAlign w:val="center"/>
          </w:tcPr>
          <w:p>
            <w:pPr>
              <w:pStyle w:val="17"/>
              <w:jc w:val="center"/>
              <w:rPr>
                <w:rFonts w:ascii="Times New Roman" w:cs="Times New Roman"/>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56,450,957</w:t>
            </w:r>
          </w:p>
        </w:tc>
        <w:tc>
          <w:tcPr>
            <w:tcW w:w="912" w:type="dxa"/>
            <w:noWrap w:val="0"/>
            <w:vAlign w:val="center"/>
          </w:tcPr>
          <w:p>
            <w:pPr>
              <w:pStyle w:val="17"/>
              <w:jc w:val="center"/>
              <w:rPr>
                <w:rFonts w:hint="default" w:asci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64" w:type="dxa"/>
            <w:noWrap w:val="0"/>
            <w:vAlign w:val="center"/>
          </w:tcPr>
          <w:p>
            <w:pPr>
              <w:pStyle w:val="17"/>
              <w:jc w:val="center"/>
              <w:rPr>
                <w:rFonts w:hint="eastAsia"/>
                <w:sz w:val="22"/>
                <w:szCs w:val="22"/>
                <w:highlight w:val="none"/>
              </w:rPr>
            </w:pPr>
            <w:r>
              <w:rPr>
                <w:rFonts w:hint="eastAsia"/>
                <w:sz w:val="22"/>
                <w:szCs w:val="22"/>
                <w:highlight w:val="none"/>
              </w:rPr>
              <w:t>无限售条件股份</w:t>
            </w:r>
          </w:p>
        </w:tc>
        <w:tc>
          <w:tcPr>
            <w:tcW w:w="1428" w:type="dxa"/>
            <w:noWrap w:val="0"/>
            <w:vAlign w:val="center"/>
          </w:tcPr>
          <w:p>
            <w:pPr>
              <w:jc w:val="right"/>
              <w:rPr>
                <w:szCs w:val="21"/>
                <w:highlight w:val="none"/>
              </w:rPr>
            </w:pPr>
            <w:r>
              <w:rPr>
                <w:rFonts w:hint="eastAsia"/>
                <w:szCs w:val="21"/>
                <w:highlight w:val="none"/>
              </w:rPr>
              <w:t>163</w:t>
            </w:r>
            <w:r>
              <w:rPr>
                <w:rFonts w:hint="eastAsia"/>
                <w:szCs w:val="21"/>
                <w:highlight w:val="none"/>
                <w:lang w:val="en-US" w:eastAsia="zh-CN"/>
              </w:rPr>
              <w:t>,</w:t>
            </w:r>
            <w:r>
              <w:rPr>
                <w:rFonts w:hint="eastAsia"/>
                <w:szCs w:val="21"/>
                <w:highlight w:val="none"/>
              </w:rPr>
              <w:t>538</w:t>
            </w:r>
            <w:r>
              <w:rPr>
                <w:rFonts w:hint="eastAsia"/>
                <w:szCs w:val="21"/>
                <w:highlight w:val="none"/>
                <w:lang w:val="en-US" w:eastAsia="zh-CN"/>
              </w:rPr>
              <w:t>,</w:t>
            </w:r>
            <w:r>
              <w:rPr>
                <w:rFonts w:hint="eastAsia"/>
                <w:szCs w:val="21"/>
                <w:highlight w:val="none"/>
              </w:rPr>
              <w:t>945</w:t>
            </w:r>
          </w:p>
        </w:tc>
        <w:tc>
          <w:tcPr>
            <w:tcW w:w="1176" w:type="dxa"/>
            <w:noWrap w:val="0"/>
            <w:vAlign w:val="center"/>
          </w:tcPr>
          <w:p>
            <w:pPr>
              <w:pStyle w:val="17"/>
              <w:jc w:val="center"/>
              <w:rPr>
                <w:rFonts w:ascii="Times New Roman" w:cs="Times New Roman"/>
                <w:sz w:val="21"/>
                <w:szCs w:val="21"/>
                <w:highlight w:val="none"/>
              </w:rPr>
            </w:pPr>
            <w:r>
              <w:rPr>
                <w:rFonts w:ascii="Times New Roman" w:cs="Times New Roman"/>
                <w:sz w:val="21"/>
                <w:szCs w:val="21"/>
                <w:highlight w:val="none"/>
              </w:rPr>
              <w:t>7</w:t>
            </w:r>
            <w:r>
              <w:rPr>
                <w:rFonts w:hint="eastAsia" w:ascii="Times New Roman" w:cs="Times New Roman"/>
                <w:sz w:val="21"/>
                <w:szCs w:val="21"/>
                <w:highlight w:val="none"/>
                <w:lang w:val="en-US" w:eastAsia="zh-CN"/>
              </w:rPr>
              <w:t>4.34</w:t>
            </w:r>
            <w:r>
              <w:rPr>
                <w:rFonts w:hint="eastAsia" w:ascii="Times New Roman" w:cs="Times New Roman"/>
                <w:sz w:val="21"/>
                <w:szCs w:val="21"/>
                <w:highlight w:val="none"/>
              </w:rPr>
              <w:t>%</w:t>
            </w:r>
          </w:p>
        </w:tc>
        <w:tc>
          <w:tcPr>
            <w:tcW w:w="1332" w:type="dxa"/>
            <w:noWrap w:val="0"/>
            <w:vAlign w:val="center"/>
          </w:tcPr>
          <w:p>
            <w:pPr>
              <w:jc w:val="right"/>
              <w:rPr>
                <w:rFonts w:hint="eastAsia"/>
                <w:szCs w:val="21"/>
                <w:highlight w:val="none"/>
              </w:rPr>
            </w:pPr>
            <w:r>
              <w:rPr>
                <w:rFonts w:hint="eastAsia"/>
                <w:szCs w:val="21"/>
                <w:highlight w:val="none"/>
              </w:rPr>
              <w:t>162</w:t>
            </w:r>
            <w:r>
              <w:rPr>
                <w:rFonts w:hint="eastAsia"/>
                <w:szCs w:val="21"/>
                <w:highlight w:val="none"/>
                <w:lang w:val="en-US" w:eastAsia="zh-CN"/>
              </w:rPr>
              <w:t>,</w:t>
            </w:r>
            <w:r>
              <w:rPr>
                <w:rFonts w:hint="eastAsia"/>
                <w:szCs w:val="21"/>
                <w:highlight w:val="none"/>
              </w:rPr>
              <w:t>872</w:t>
            </w:r>
            <w:r>
              <w:rPr>
                <w:rFonts w:hint="eastAsia"/>
                <w:szCs w:val="21"/>
                <w:highlight w:val="none"/>
                <w:lang w:val="en-US" w:eastAsia="zh-CN"/>
              </w:rPr>
              <w:t>,</w:t>
            </w:r>
            <w:r>
              <w:rPr>
                <w:rFonts w:hint="eastAsia"/>
                <w:szCs w:val="21"/>
                <w:highlight w:val="none"/>
              </w:rPr>
              <w:t>279</w:t>
            </w:r>
          </w:p>
        </w:tc>
        <w:tc>
          <w:tcPr>
            <w:tcW w:w="960" w:type="dxa"/>
            <w:noWrap w:val="0"/>
            <w:vAlign w:val="center"/>
          </w:tcPr>
          <w:p>
            <w:pPr>
              <w:pStyle w:val="17"/>
              <w:jc w:val="center"/>
              <w:rPr>
                <w:rFonts w:ascii="Times New Roman" w:cs="Times New Roman"/>
                <w:sz w:val="21"/>
                <w:szCs w:val="21"/>
                <w:highlight w:val="none"/>
              </w:rPr>
            </w:pPr>
            <w:r>
              <w:rPr>
                <w:rFonts w:hint="eastAsia" w:ascii="Times New Roman" w:cs="Times New Roman"/>
                <w:sz w:val="21"/>
                <w:szCs w:val="21"/>
                <w:highlight w:val="none"/>
                <w:lang w:val="en-US" w:eastAsia="zh-CN"/>
              </w:rPr>
              <w:t>74.26</w:t>
            </w:r>
            <w:r>
              <w:rPr>
                <w:rFonts w:ascii="Times New Roman" w:cs="Times New Roman"/>
                <w:sz w:val="21"/>
                <w:szCs w:val="21"/>
                <w:highlight w:val="none"/>
              </w:rPr>
              <w:t>%</w:t>
            </w:r>
          </w:p>
        </w:tc>
        <w:tc>
          <w:tcPr>
            <w:tcW w:w="1296" w:type="dxa"/>
            <w:noWrap w:val="0"/>
            <w:vAlign w:val="center"/>
          </w:tcPr>
          <w:p>
            <w:pPr>
              <w:pStyle w:val="17"/>
              <w:jc w:val="center"/>
              <w:rPr>
                <w:rFonts w:hint="eastAsia" w:ascii="Times New Roman" w:cs="Times New Roman"/>
                <w:sz w:val="21"/>
                <w:szCs w:val="21"/>
                <w:highlight w:val="none"/>
                <w:lang w:val="en-US" w:eastAsia="zh-CN"/>
              </w:rPr>
            </w:pPr>
            <w:r>
              <w:rPr>
                <w:rFonts w:hint="eastAsia" w:ascii="Times New Roman" w:cs="Times New Roman"/>
                <w:sz w:val="21"/>
                <w:szCs w:val="21"/>
                <w:highlight w:val="none"/>
                <w:lang w:val="en-US" w:eastAsia="zh-CN"/>
              </w:rPr>
              <w:t>162,205,612</w:t>
            </w:r>
          </w:p>
        </w:tc>
        <w:tc>
          <w:tcPr>
            <w:tcW w:w="912" w:type="dxa"/>
            <w:noWrap w:val="0"/>
            <w:vAlign w:val="center"/>
          </w:tcPr>
          <w:p>
            <w:pPr>
              <w:pStyle w:val="17"/>
              <w:jc w:val="center"/>
              <w:rPr>
                <w:rFonts w:hint="default" w:ascii="Times New Roman" w:cs="Times New Roman"/>
                <w:sz w:val="21"/>
                <w:szCs w:val="21"/>
                <w:highlight w:val="none"/>
                <w:lang w:val="en-US" w:eastAsia="zh-CN"/>
              </w:rPr>
            </w:pPr>
            <w:r>
              <w:rPr>
                <w:rFonts w:hint="eastAsia" w:ascii="Times New Roman" w:cs="Times New Roman"/>
                <w:sz w:val="21"/>
                <w:szCs w:val="21"/>
                <w:highlight w:val="none"/>
                <w:lang w:val="en-US" w:eastAsia="zh-CN"/>
              </w:rPr>
              <w:t>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864" w:type="dxa"/>
            <w:noWrap w:val="0"/>
            <w:vAlign w:val="center"/>
          </w:tcPr>
          <w:p>
            <w:pPr>
              <w:pStyle w:val="17"/>
              <w:jc w:val="center"/>
              <w:rPr>
                <w:rFonts w:hint="eastAsia"/>
                <w:sz w:val="22"/>
                <w:szCs w:val="22"/>
                <w:highlight w:val="none"/>
              </w:rPr>
            </w:pPr>
            <w:r>
              <w:rPr>
                <w:rFonts w:hint="eastAsia"/>
                <w:sz w:val="22"/>
                <w:szCs w:val="22"/>
                <w:highlight w:val="none"/>
              </w:rPr>
              <w:t>股份总数</w:t>
            </w:r>
          </w:p>
        </w:tc>
        <w:tc>
          <w:tcPr>
            <w:tcW w:w="1428" w:type="dxa"/>
            <w:noWrap w:val="0"/>
            <w:vAlign w:val="center"/>
          </w:tcPr>
          <w:p>
            <w:pPr>
              <w:jc w:val="right"/>
              <w:rPr>
                <w:szCs w:val="21"/>
                <w:highlight w:val="none"/>
              </w:rPr>
            </w:pPr>
            <w:r>
              <w:rPr>
                <w:rFonts w:hint="eastAsia"/>
                <w:szCs w:val="21"/>
                <w:highlight w:val="none"/>
              </w:rPr>
              <w:t>219,989,902</w:t>
            </w:r>
          </w:p>
        </w:tc>
        <w:tc>
          <w:tcPr>
            <w:tcW w:w="1176" w:type="dxa"/>
            <w:noWrap w:val="0"/>
            <w:vAlign w:val="center"/>
          </w:tcPr>
          <w:p>
            <w:pPr>
              <w:pStyle w:val="17"/>
              <w:jc w:val="center"/>
              <w:rPr>
                <w:rFonts w:ascii="Times New Roman" w:cs="Times New Roman"/>
                <w:sz w:val="21"/>
                <w:szCs w:val="21"/>
                <w:highlight w:val="none"/>
              </w:rPr>
            </w:pPr>
            <w:r>
              <w:rPr>
                <w:rFonts w:hint="eastAsia" w:ascii="Times New Roman" w:cs="Times New Roman"/>
                <w:sz w:val="21"/>
                <w:szCs w:val="21"/>
                <w:highlight w:val="none"/>
              </w:rPr>
              <w:t>100.00%</w:t>
            </w:r>
          </w:p>
        </w:tc>
        <w:tc>
          <w:tcPr>
            <w:tcW w:w="1332" w:type="dxa"/>
            <w:noWrap w:val="0"/>
            <w:vAlign w:val="center"/>
          </w:tcPr>
          <w:p>
            <w:pPr>
              <w:jc w:val="right"/>
              <w:rPr>
                <w:szCs w:val="21"/>
                <w:highlight w:val="none"/>
              </w:rPr>
            </w:pPr>
            <w:r>
              <w:rPr>
                <w:rFonts w:hint="eastAsia"/>
                <w:szCs w:val="21"/>
                <w:highlight w:val="none"/>
              </w:rPr>
              <w:t>219</w:t>
            </w:r>
            <w:r>
              <w:rPr>
                <w:rFonts w:hint="eastAsia"/>
                <w:szCs w:val="21"/>
                <w:highlight w:val="none"/>
                <w:lang w:val="en-US" w:eastAsia="zh-CN"/>
              </w:rPr>
              <w:t>,</w:t>
            </w:r>
            <w:r>
              <w:rPr>
                <w:rFonts w:hint="eastAsia"/>
                <w:szCs w:val="21"/>
                <w:highlight w:val="none"/>
              </w:rPr>
              <w:t>323</w:t>
            </w:r>
            <w:r>
              <w:rPr>
                <w:rFonts w:hint="eastAsia"/>
                <w:szCs w:val="21"/>
                <w:highlight w:val="none"/>
                <w:lang w:val="en-US" w:eastAsia="zh-CN"/>
              </w:rPr>
              <w:t>,</w:t>
            </w:r>
            <w:r>
              <w:rPr>
                <w:rFonts w:hint="eastAsia"/>
                <w:szCs w:val="21"/>
                <w:highlight w:val="none"/>
              </w:rPr>
              <w:t>236</w:t>
            </w:r>
          </w:p>
        </w:tc>
        <w:tc>
          <w:tcPr>
            <w:tcW w:w="960" w:type="dxa"/>
            <w:noWrap w:val="0"/>
            <w:vAlign w:val="center"/>
          </w:tcPr>
          <w:p>
            <w:pPr>
              <w:pStyle w:val="17"/>
              <w:jc w:val="center"/>
              <w:rPr>
                <w:rFonts w:ascii="Times New Roman" w:cs="Times New Roman"/>
                <w:sz w:val="21"/>
                <w:szCs w:val="21"/>
                <w:highlight w:val="none"/>
              </w:rPr>
            </w:pPr>
            <w:r>
              <w:rPr>
                <w:rFonts w:hint="eastAsia" w:ascii="Times New Roman" w:cs="Times New Roman"/>
                <w:sz w:val="21"/>
                <w:szCs w:val="21"/>
                <w:highlight w:val="none"/>
              </w:rPr>
              <w:t>100.00%</w:t>
            </w:r>
          </w:p>
        </w:tc>
        <w:tc>
          <w:tcPr>
            <w:tcW w:w="1296" w:type="dxa"/>
            <w:noWrap w:val="0"/>
            <w:vAlign w:val="center"/>
          </w:tcPr>
          <w:p>
            <w:pPr>
              <w:pStyle w:val="17"/>
              <w:jc w:val="center"/>
              <w:rPr>
                <w:rFonts w:hint="eastAsia" w:ascii="Times New Roman" w:cs="Times New Roman"/>
                <w:sz w:val="21"/>
                <w:szCs w:val="21"/>
                <w:highlight w:val="none"/>
              </w:rPr>
            </w:pPr>
            <w:r>
              <w:rPr>
                <w:rFonts w:hint="eastAsia" w:ascii="Times New Roman" w:cs="Times New Roman"/>
                <w:sz w:val="21"/>
                <w:szCs w:val="21"/>
                <w:highlight w:val="none"/>
              </w:rPr>
              <w:t>218</w:t>
            </w:r>
            <w:r>
              <w:rPr>
                <w:rFonts w:hint="eastAsia" w:ascii="Times New Roman" w:cs="Times New Roman"/>
                <w:sz w:val="21"/>
                <w:szCs w:val="21"/>
                <w:highlight w:val="none"/>
                <w:lang w:val="en-US" w:eastAsia="zh-CN"/>
              </w:rPr>
              <w:t>,</w:t>
            </w:r>
            <w:r>
              <w:rPr>
                <w:rFonts w:hint="eastAsia" w:ascii="Times New Roman" w:cs="Times New Roman"/>
                <w:sz w:val="21"/>
                <w:szCs w:val="21"/>
                <w:highlight w:val="none"/>
              </w:rPr>
              <w:t>656</w:t>
            </w:r>
            <w:r>
              <w:rPr>
                <w:rFonts w:hint="eastAsia" w:ascii="Times New Roman" w:cs="Times New Roman"/>
                <w:sz w:val="21"/>
                <w:szCs w:val="21"/>
                <w:highlight w:val="none"/>
                <w:lang w:val="en-US" w:eastAsia="zh-CN"/>
              </w:rPr>
              <w:t>,</w:t>
            </w:r>
            <w:r>
              <w:rPr>
                <w:rFonts w:hint="eastAsia" w:ascii="Times New Roman" w:cs="Times New Roman"/>
                <w:sz w:val="21"/>
                <w:szCs w:val="21"/>
                <w:highlight w:val="none"/>
              </w:rPr>
              <w:t>569</w:t>
            </w:r>
          </w:p>
        </w:tc>
        <w:tc>
          <w:tcPr>
            <w:tcW w:w="912" w:type="dxa"/>
            <w:noWrap w:val="0"/>
            <w:vAlign w:val="center"/>
          </w:tcPr>
          <w:p>
            <w:pPr>
              <w:pStyle w:val="17"/>
              <w:jc w:val="center"/>
              <w:rPr>
                <w:rFonts w:hint="default" w:asci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100%</w:t>
            </w:r>
          </w:p>
        </w:tc>
      </w:tr>
    </w:tbl>
    <w:p>
      <w:pPr>
        <w:pStyle w:val="17"/>
        <w:spacing w:before="156" w:beforeLines="50" w:line="360" w:lineRule="auto"/>
        <w:ind w:firstLine="313" w:firstLineChars="196"/>
        <w:rPr>
          <w:rFonts w:hint="eastAsia" w:hAnsi="宋体"/>
          <w:b w:val="0"/>
          <w:bCs/>
          <w:sz w:val="16"/>
          <w:szCs w:val="16"/>
          <w:highlight w:val="none"/>
        </w:rPr>
      </w:pPr>
      <w:r>
        <w:rPr>
          <w:rFonts w:hint="eastAsia" w:hAnsi="宋体"/>
          <w:b w:val="0"/>
          <w:bCs/>
          <w:sz w:val="16"/>
          <w:szCs w:val="16"/>
          <w:highlight w:val="none"/>
        </w:rPr>
        <w:t>注：上述变动情况暂未考虑其他因素影响，具体回购股份的数量以回购期限届满时实际回购的股份数量为准。</w:t>
      </w:r>
    </w:p>
    <w:p>
      <w:pPr>
        <w:pStyle w:val="17"/>
        <w:spacing w:before="156" w:beforeLines="50" w:line="360" w:lineRule="auto"/>
        <w:ind w:firstLine="472" w:firstLineChars="196"/>
        <w:rPr>
          <w:rFonts w:hAnsi="宋体"/>
          <w:b/>
          <w:highlight w:val="none"/>
        </w:rPr>
      </w:pPr>
      <w:r>
        <w:rPr>
          <w:rFonts w:hint="eastAsia" w:hAnsi="宋体"/>
          <w:b/>
          <w:highlight w:val="none"/>
        </w:rPr>
        <w:t>八、管理层关于本次回购股份对公司经营、财务、研发、债务履行能力及未来发展影响和维持上市地位等情况的分析</w:t>
      </w:r>
      <w:r>
        <w:rPr>
          <w:rFonts w:hAnsi="宋体"/>
          <w:b/>
          <w:highlight w:val="none"/>
        </w:rPr>
        <w:t xml:space="preserve"> </w:t>
      </w:r>
    </w:p>
    <w:p>
      <w:pPr>
        <w:pStyle w:val="17"/>
        <w:spacing w:line="360" w:lineRule="auto"/>
        <w:ind w:firstLine="480" w:firstLineChars="200"/>
        <w:rPr>
          <w:rFonts w:hint="eastAsia"/>
          <w:highlight w:val="none"/>
        </w:rPr>
      </w:pPr>
      <w:r>
        <w:rPr>
          <w:highlight w:val="none"/>
        </w:rPr>
        <w:t>根据本次回购方案，回购资金将在回购期限内择机支付，具有一定弹性。</w:t>
      </w:r>
      <w:r>
        <w:rPr>
          <w:rFonts w:hint="eastAsia" w:hAnsi="宋体"/>
          <w:highlight w:val="none"/>
        </w:rPr>
        <w:t>截至</w:t>
      </w:r>
      <w:r>
        <w:rPr>
          <w:rFonts w:hAnsi="宋体" w:cs="Times New Roman"/>
          <w:highlight w:val="none"/>
        </w:rPr>
        <w:t>20</w:t>
      </w:r>
      <w:r>
        <w:rPr>
          <w:rFonts w:hint="eastAsia" w:hAnsi="宋体" w:cs="Times New Roman"/>
          <w:highlight w:val="none"/>
        </w:rPr>
        <w:t>2</w:t>
      </w:r>
      <w:r>
        <w:rPr>
          <w:rFonts w:hint="eastAsia" w:hAnsi="宋体" w:cs="Times New Roman"/>
          <w:highlight w:val="none"/>
          <w:lang w:val="en-US" w:eastAsia="zh-CN"/>
        </w:rPr>
        <w:t>3</w:t>
      </w:r>
      <w:r>
        <w:rPr>
          <w:rFonts w:hint="eastAsia" w:hAnsi="宋体"/>
          <w:highlight w:val="none"/>
        </w:rPr>
        <w:t>年</w:t>
      </w:r>
      <w:r>
        <w:rPr>
          <w:rFonts w:hint="eastAsia" w:hAnsi="宋体" w:cs="Times New Roman"/>
          <w:highlight w:val="none"/>
        </w:rPr>
        <w:t>9</w:t>
      </w:r>
      <w:r>
        <w:rPr>
          <w:rFonts w:hint="eastAsia" w:hAnsi="宋体"/>
          <w:highlight w:val="none"/>
        </w:rPr>
        <w:t>月</w:t>
      </w:r>
      <w:r>
        <w:rPr>
          <w:rFonts w:hAnsi="宋体" w:cs="Times New Roman"/>
          <w:highlight w:val="none"/>
        </w:rPr>
        <w:t>30</w:t>
      </w:r>
      <w:r>
        <w:rPr>
          <w:rFonts w:hint="eastAsia" w:hAnsi="宋体"/>
          <w:highlight w:val="none"/>
        </w:rPr>
        <w:t>日（未经审计），公司总资产80</w:t>
      </w:r>
      <w:r>
        <w:rPr>
          <w:rFonts w:hint="eastAsia" w:hAnsi="宋体"/>
          <w:highlight w:val="none"/>
          <w:lang w:val="en-US" w:eastAsia="zh-CN"/>
        </w:rPr>
        <w:t>,</w:t>
      </w:r>
      <w:r>
        <w:rPr>
          <w:rFonts w:hint="eastAsia" w:hAnsi="宋体"/>
          <w:highlight w:val="none"/>
        </w:rPr>
        <w:t>265</w:t>
      </w:r>
      <w:r>
        <w:rPr>
          <w:rFonts w:hint="eastAsia" w:hAnsi="宋体"/>
          <w:highlight w:val="none"/>
          <w:lang w:val="en-US" w:eastAsia="zh-CN"/>
        </w:rPr>
        <w:t>.</w:t>
      </w:r>
      <w:r>
        <w:rPr>
          <w:rFonts w:hint="eastAsia" w:hAnsi="宋体"/>
          <w:highlight w:val="none"/>
        </w:rPr>
        <w:t>03万元，</w:t>
      </w:r>
      <w:r>
        <w:rPr>
          <w:highlight w:val="none"/>
        </w:rPr>
        <w:t>归属于上市公司股东的净资产</w:t>
      </w:r>
      <w:r>
        <w:rPr>
          <w:rFonts w:hint="eastAsia" w:hAnsi="宋体"/>
          <w:highlight w:val="none"/>
        </w:rPr>
        <w:t>62</w:t>
      </w:r>
      <w:r>
        <w:rPr>
          <w:rFonts w:hint="eastAsia" w:hAnsi="宋体"/>
          <w:highlight w:val="none"/>
          <w:lang w:val="en-US" w:eastAsia="zh-CN"/>
        </w:rPr>
        <w:t>,</w:t>
      </w:r>
      <w:r>
        <w:rPr>
          <w:rFonts w:hint="eastAsia" w:hAnsi="宋体"/>
          <w:highlight w:val="none"/>
        </w:rPr>
        <w:t>228</w:t>
      </w:r>
      <w:r>
        <w:rPr>
          <w:rFonts w:hint="eastAsia" w:hAnsi="宋体"/>
          <w:highlight w:val="none"/>
          <w:lang w:val="en-US" w:eastAsia="zh-CN"/>
        </w:rPr>
        <w:t>.</w:t>
      </w:r>
      <w:r>
        <w:rPr>
          <w:rFonts w:hint="eastAsia" w:hAnsi="宋体"/>
          <w:highlight w:val="none"/>
        </w:rPr>
        <w:t>38万元，</w:t>
      </w:r>
      <w:r>
        <w:rPr>
          <w:highlight w:val="none"/>
        </w:rPr>
        <w:t>按照本次回购上限人民币</w:t>
      </w:r>
      <w:r>
        <w:rPr>
          <w:rFonts w:hint="eastAsia"/>
          <w:highlight w:val="none"/>
          <w:lang w:val="en-US" w:eastAsia="zh-CN"/>
        </w:rPr>
        <w:t>2</w:t>
      </w:r>
      <w:r>
        <w:rPr>
          <w:highlight w:val="none"/>
        </w:rPr>
        <w:t>,000万元（含）测算，回购资金分别占以上指标的</w:t>
      </w:r>
      <w:r>
        <w:rPr>
          <w:rFonts w:hint="eastAsia"/>
          <w:highlight w:val="none"/>
          <w:lang w:val="en-US" w:eastAsia="zh-CN"/>
        </w:rPr>
        <w:t>2.49</w:t>
      </w:r>
      <w:r>
        <w:rPr>
          <w:highlight w:val="none"/>
        </w:rPr>
        <w:t>%、</w:t>
      </w:r>
      <w:r>
        <w:rPr>
          <w:rFonts w:hint="eastAsia"/>
          <w:highlight w:val="none"/>
          <w:lang w:val="en-US" w:eastAsia="zh-CN"/>
        </w:rPr>
        <w:t>3.21</w:t>
      </w:r>
      <w:r>
        <w:rPr>
          <w:highlight w:val="none"/>
        </w:rPr>
        <w:t>%。根据公司目前经营情况、财务状况及未来发展规划，公司回购资金总额不低于</w:t>
      </w:r>
      <w:r>
        <w:rPr>
          <w:rFonts w:hint="eastAsia"/>
          <w:highlight w:val="none"/>
          <w:lang w:val="en-US" w:eastAsia="zh-CN"/>
        </w:rPr>
        <w:t>1</w:t>
      </w:r>
      <w:r>
        <w:rPr>
          <w:highlight w:val="none"/>
        </w:rPr>
        <w:t>,</w:t>
      </w:r>
      <w:r>
        <w:rPr>
          <w:rFonts w:hint="eastAsia"/>
          <w:highlight w:val="none"/>
          <w:lang w:val="en-US" w:eastAsia="zh-CN"/>
        </w:rPr>
        <w:t>0</w:t>
      </w:r>
      <w:r>
        <w:rPr>
          <w:highlight w:val="none"/>
        </w:rPr>
        <w:t>00万元（含）且不超过</w:t>
      </w:r>
      <w:r>
        <w:rPr>
          <w:rFonts w:hint="eastAsia"/>
          <w:highlight w:val="none"/>
          <w:lang w:val="en-US" w:eastAsia="zh-CN"/>
        </w:rPr>
        <w:t>2</w:t>
      </w:r>
      <w:r>
        <w:rPr>
          <w:highlight w:val="none"/>
        </w:rPr>
        <w:t>,000万元（含），不会对公司经营、财务、研发</w:t>
      </w:r>
      <w:r>
        <w:rPr>
          <w:rFonts w:hint="eastAsia"/>
          <w:highlight w:val="none"/>
        </w:rPr>
        <w:t>及</w:t>
      </w:r>
      <w:r>
        <w:rPr>
          <w:highlight w:val="none"/>
        </w:rPr>
        <w:t>未来发展产生重大影响</w:t>
      </w:r>
      <w:r>
        <w:rPr>
          <w:rFonts w:hint="eastAsia"/>
          <w:highlight w:val="none"/>
        </w:rPr>
        <w:t>。</w:t>
      </w:r>
    </w:p>
    <w:p>
      <w:pPr>
        <w:pStyle w:val="17"/>
        <w:spacing w:line="360" w:lineRule="auto"/>
        <w:ind w:firstLine="480" w:firstLineChars="200"/>
        <w:rPr>
          <w:highlight w:val="none"/>
        </w:rPr>
      </w:pPr>
      <w:r>
        <w:rPr>
          <w:highlight w:val="none"/>
        </w:rPr>
        <w:t>本次实施股份回购对公司偿债能力等财务指标影响较小，截至202</w:t>
      </w:r>
      <w:r>
        <w:rPr>
          <w:rFonts w:hint="eastAsia"/>
          <w:highlight w:val="none"/>
          <w:lang w:val="en-US" w:eastAsia="zh-CN"/>
        </w:rPr>
        <w:t>3</w:t>
      </w:r>
      <w:r>
        <w:rPr>
          <w:highlight w:val="none"/>
        </w:rPr>
        <w:t>年9月30 日（未经审计），公司资产负债率为</w:t>
      </w:r>
      <w:r>
        <w:rPr>
          <w:rFonts w:hint="eastAsia"/>
          <w:highlight w:val="none"/>
          <w:lang w:val="en-US" w:eastAsia="zh-CN"/>
        </w:rPr>
        <w:t>22.73</w:t>
      </w:r>
      <w:r>
        <w:rPr>
          <w:highlight w:val="none"/>
        </w:rPr>
        <w:t>%，本次回购股份资金来源为公司自有资金，对公司偿债能力不会产生重大影响。</w:t>
      </w:r>
    </w:p>
    <w:p>
      <w:pPr>
        <w:pStyle w:val="17"/>
        <w:spacing w:line="360" w:lineRule="auto"/>
        <w:ind w:firstLine="480" w:firstLineChars="200"/>
        <w:rPr>
          <w:highlight w:val="none"/>
        </w:rPr>
      </w:pPr>
      <w:r>
        <w:rPr>
          <w:rFonts w:hint="default" w:ascii="宋体" w:cs="宋体"/>
          <w:color w:val="000000"/>
          <w:kern w:val="0"/>
          <w:sz w:val="24"/>
          <w:szCs w:val="24"/>
          <w:highlight w:val="none"/>
          <w:lang w:val="en-US" w:eastAsia="zh-CN"/>
        </w:rPr>
        <w:t xml:space="preserve">按本次回购资金最高人民币 </w:t>
      </w:r>
      <w:r>
        <w:rPr>
          <w:rFonts w:hint="eastAsia" w:ascii="宋体" w:cs="宋体"/>
          <w:color w:val="000000"/>
          <w:kern w:val="0"/>
          <w:sz w:val="24"/>
          <w:szCs w:val="24"/>
          <w:highlight w:val="none"/>
          <w:lang w:val="en-US" w:eastAsia="zh-CN"/>
        </w:rPr>
        <w:t>2</w:t>
      </w:r>
      <w:r>
        <w:rPr>
          <w:rFonts w:hint="default" w:ascii="宋体" w:cs="宋体"/>
          <w:color w:val="000000"/>
          <w:kern w:val="0"/>
          <w:sz w:val="24"/>
          <w:szCs w:val="24"/>
          <w:highlight w:val="none"/>
          <w:lang w:val="en-US" w:eastAsia="zh-CN"/>
        </w:rPr>
        <w:t>,000 万元测算，预计可回购股份数量约为</w:t>
      </w:r>
      <w:r>
        <w:rPr>
          <w:rFonts w:hint="eastAsia" w:ascii="宋体" w:cs="宋体"/>
          <w:color w:val="000000"/>
          <w:kern w:val="0"/>
          <w:sz w:val="24"/>
          <w:szCs w:val="24"/>
          <w:highlight w:val="none"/>
          <w:lang w:val="en-US" w:eastAsia="zh-CN"/>
        </w:rPr>
        <w:t>1,333,333</w:t>
      </w:r>
      <w:r>
        <w:rPr>
          <w:rFonts w:hint="default" w:ascii="宋体" w:cs="宋体"/>
          <w:color w:val="000000"/>
          <w:kern w:val="0"/>
          <w:sz w:val="24"/>
          <w:szCs w:val="24"/>
          <w:highlight w:val="none"/>
          <w:lang w:val="en-US" w:eastAsia="zh-CN"/>
        </w:rPr>
        <w:t>股，约占公司目前总股本的 0.</w:t>
      </w:r>
      <w:r>
        <w:rPr>
          <w:rFonts w:hint="eastAsia" w:ascii="宋体" w:cs="宋体"/>
          <w:color w:val="000000"/>
          <w:kern w:val="0"/>
          <w:sz w:val="24"/>
          <w:szCs w:val="24"/>
          <w:highlight w:val="none"/>
          <w:lang w:val="en-US" w:eastAsia="zh-CN"/>
        </w:rPr>
        <w:t>61</w:t>
      </w:r>
      <w:r>
        <w:rPr>
          <w:rFonts w:hint="default" w:ascii="宋体" w:cs="宋体"/>
          <w:color w:val="000000"/>
          <w:kern w:val="0"/>
          <w:sz w:val="24"/>
          <w:szCs w:val="24"/>
          <w:highlight w:val="none"/>
          <w:lang w:val="en-US" w:eastAsia="zh-CN"/>
        </w:rPr>
        <w:t>%</w:t>
      </w:r>
      <w:r>
        <w:rPr>
          <w:highlight w:val="none"/>
        </w:rPr>
        <w:t>回购方案的实施不会导致公司控制权发生变化。本次回购实施完成后，公司股权分布情况仍符合上市公司的条件，不会改变公司的上市公司地位。</w:t>
      </w:r>
    </w:p>
    <w:p>
      <w:pPr>
        <w:pStyle w:val="17"/>
        <w:spacing w:line="360" w:lineRule="auto"/>
        <w:ind w:firstLine="480" w:firstLineChars="200"/>
      </w:pPr>
      <w:r>
        <w:rPr>
          <w:highlight w:val="none"/>
        </w:rPr>
        <w:t>公司全体董事承诺：本次回购股份不会损害上市公司的债</w:t>
      </w:r>
      <w:r>
        <w:t xml:space="preserve">务履行能力和持续 经营能力。   </w:t>
      </w:r>
    </w:p>
    <w:p>
      <w:pPr>
        <w:pStyle w:val="17"/>
        <w:spacing w:before="156" w:beforeLines="50" w:line="360" w:lineRule="auto"/>
        <w:ind w:firstLine="472" w:firstLineChars="196"/>
        <w:rPr>
          <w:rFonts w:hint="eastAsia"/>
          <w:b/>
        </w:rPr>
      </w:pPr>
      <w:r>
        <w:rPr>
          <w:rFonts w:hint="eastAsia" w:hAnsi="宋体"/>
          <w:b/>
        </w:rPr>
        <w:t>九、上市公司董事、监事、高级管理人员，控股股东、实际控制人及其一致行动人在董事会作出回购股份决议前六</w:t>
      </w:r>
      <w:r>
        <w:rPr>
          <w:rFonts w:hint="eastAsia"/>
          <w:b/>
        </w:rPr>
        <w:t>个月</w:t>
      </w:r>
      <w:r>
        <w:rPr>
          <w:rFonts w:hAnsi="宋体"/>
          <w:b/>
        </w:rPr>
        <w:t>内买卖公司股份的情况,</w:t>
      </w:r>
      <w:r>
        <w:rPr>
          <w:rFonts w:hint="eastAsia"/>
          <w:b/>
        </w:rPr>
        <w:t>是否存在单独或者与他人联合进行内幕交易及市场操纵行为的说明，以及在回购期间的增减持计划</w:t>
      </w:r>
    </w:p>
    <w:p>
      <w:pPr>
        <w:pStyle w:val="17"/>
        <w:spacing w:line="360" w:lineRule="auto"/>
        <w:ind w:firstLine="470" w:firstLineChars="196"/>
        <w:rPr>
          <w:rFonts w:hint="eastAsia"/>
        </w:rPr>
      </w:pPr>
      <w:r>
        <w:rPr>
          <w:rFonts w:hint="eastAsia" w:hAnsi="宋体"/>
        </w:rPr>
        <w:t>公司董事、监事、高级管理人员、</w:t>
      </w:r>
      <w:r>
        <w:t>控股股东、实际控制人及其一致行动人</w:t>
      </w:r>
      <w:r>
        <w:rPr>
          <w:rFonts w:hint="eastAsia" w:hAnsi="宋体"/>
        </w:rPr>
        <w:t>在董事会做出回购股份决议前六个月内不存在买卖公司股份的情形，也不存在单独或者与他人联合进行内幕交易及市场操纵的行为</w:t>
      </w:r>
      <w:r>
        <w:rPr>
          <w:rFonts w:hint="eastAsia" w:hAnsi="宋体"/>
          <w:lang w:eastAsia="zh-CN"/>
        </w:rPr>
        <w:t>，</w:t>
      </w:r>
      <w:r>
        <w:rPr>
          <w:rFonts w:hint="eastAsia" w:hAnsi="宋体"/>
        </w:rPr>
        <w:t>在回购期间无减持计划。</w:t>
      </w:r>
    </w:p>
    <w:p>
      <w:pPr>
        <w:pStyle w:val="17"/>
        <w:spacing w:before="156" w:beforeLines="50" w:line="360" w:lineRule="auto"/>
        <w:ind w:firstLine="472" w:firstLineChars="196"/>
        <w:rPr>
          <w:b/>
        </w:rPr>
      </w:pPr>
      <w:r>
        <w:rPr>
          <w:b/>
        </w:rPr>
        <w:t>十、回购股份后依法注销或转让的相关安排，以及防范侵害债权人利益的相关安排</w:t>
      </w:r>
    </w:p>
    <w:p>
      <w:pPr>
        <w:pStyle w:val="17"/>
        <w:spacing w:line="360" w:lineRule="auto"/>
        <w:ind w:firstLine="470" w:firstLineChars="196"/>
      </w:pPr>
      <w:r>
        <w:rPr>
          <w:rFonts w:hint="eastAsia"/>
        </w:rPr>
        <w:t>本次为维护公司价值及股东权益回购的股份，计划在披露回购结果暨股份变动公告 12 个月后采用集中竞价交易方式出售，并在披露回购结果暨股份变动公告后 3 年内出售完毕，若未在相关法律法规规定期限内出售完毕，未出售部分将依法予以注销。公司将严格履行《公司法》关于减资的相关决策、通知及公告程序，并及时履行披露义务。</w:t>
      </w:r>
    </w:p>
    <w:p>
      <w:pPr>
        <w:pStyle w:val="17"/>
        <w:spacing w:line="360" w:lineRule="auto"/>
        <w:ind w:firstLine="470" w:firstLineChars="196"/>
      </w:pPr>
      <w:r>
        <w:t>本次回购股份不会影响公司的正常持续经营，不会导致公司发生资不抵债的 情况。若公司发生需注销所回购股份的情形，将依照《公司法》等有关规定通知 债权人，充分保障债权人的合法权益。</w:t>
      </w:r>
    </w:p>
    <w:p>
      <w:pPr>
        <w:pStyle w:val="17"/>
        <w:spacing w:before="156" w:beforeLines="50" w:line="360" w:lineRule="auto"/>
        <w:ind w:firstLine="472" w:firstLineChars="196"/>
        <w:rPr>
          <w:b/>
        </w:rPr>
      </w:pPr>
      <w:r>
        <w:rPr>
          <w:rFonts w:hint="eastAsia"/>
          <w:b/>
        </w:rPr>
        <w:t>十</w:t>
      </w:r>
      <w:r>
        <w:rPr>
          <w:rFonts w:hint="eastAsia"/>
          <w:b/>
          <w:lang w:val="en-US" w:eastAsia="zh-CN"/>
        </w:rPr>
        <w:t>一</w:t>
      </w:r>
      <w:r>
        <w:rPr>
          <w:rFonts w:hint="eastAsia"/>
          <w:b/>
        </w:rPr>
        <w:t>、办理本次回购股份事宜的具体授权</w:t>
      </w:r>
      <w:r>
        <w:rPr>
          <w:b/>
        </w:rPr>
        <w:t xml:space="preserve"> </w:t>
      </w:r>
    </w:p>
    <w:p>
      <w:pPr>
        <w:pStyle w:val="17"/>
        <w:spacing w:line="360" w:lineRule="auto"/>
        <w:ind w:firstLine="480" w:firstLineChars="200"/>
      </w:pPr>
      <w:r>
        <w:t>根据《公司法》和《公司章程》的相关规定，本次回购事项在董事会审批权 限范围内，无须提交股东大会审议，为保证本次股份回购的顺利实施，公司董事 会授权公司管理层在法律法规规定范围内，按照最大限度维护公司及股东利益的 原则，办理本次回购股份相关事宜，授权内容及范围包括：</w:t>
      </w:r>
    </w:p>
    <w:p>
      <w:pPr>
        <w:pStyle w:val="17"/>
        <w:spacing w:line="360" w:lineRule="auto"/>
        <w:ind w:firstLine="480" w:firstLineChars="200"/>
      </w:pPr>
      <w:r>
        <w:t>1、在法律、法规允许的范围内，根据公司和市场的具体情况，制定本次回购股份的具体方案；</w:t>
      </w:r>
    </w:p>
    <w:p>
      <w:pPr>
        <w:pStyle w:val="17"/>
        <w:spacing w:line="360" w:lineRule="auto"/>
        <w:ind w:firstLine="480" w:firstLineChars="200"/>
      </w:pPr>
      <w:r>
        <w:t xml:space="preserve">2、如监管部门对于回购股份的相关条件发生变化或市场条件发生变化，除 涉及有关法律、法规及《公司章程》规定须由董事会重新审议的事项外，对本次回购股份的具体方案等相关事项进行相应调整； </w:t>
      </w:r>
    </w:p>
    <w:p>
      <w:pPr>
        <w:pStyle w:val="17"/>
        <w:spacing w:line="360" w:lineRule="auto"/>
        <w:ind w:firstLine="480" w:firstLineChars="200"/>
      </w:pPr>
      <w:r>
        <w:t>3、办理相关报批事宜，包括但不限于授权、签署、执行、修改、完成与本次回购股份相关的所有必要的文件、合同、协议、合约；</w:t>
      </w:r>
    </w:p>
    <w:p>
      <w:pPr>
        <w:pStyle w:val="17"/>
        <w:spacing w:line="360" w:lineRule="auto"/>
        <w:ind w:firstLine="480" w:firstLineChars="200"/>
      </w:pPr>
      <w:r>
        <w:t>4、设立回购专用证券账户及办理其他相关业务；</w:t>
      </w:r>
    </w:p>
    <w:p>
      <w:pPr>
        <w:pStyle w:val="17"/>
        <w:spacing w:line="360" w:lineRule="auto"/>
        <w:ind w:firstLine="480" w:firstLineChars="200"/>
      </w:pPr>
      <w:r>
        <w:t>5、根据实际情况择机回购股份，包括回购的时间、价格和数量等；</w:t>
      </w:r>
    </w:p>
    <w:p>
      <w:pPr>
        <w:pStyle w:val="17"/>
        <w:spacing w:line="360" w:lineRule="auto"/>
        <w:ind w:firstLine="480" w:firstLineChars="200"/>
      </w:pPr>
      <w:r>
        <w:t>6、在回购期限内实际使用资金总额不低于本次回购方案资金总额下限的前提下，根据公司实际情况及股价表现等综合因素决定终止本次回购方案；</w:t>
      </w:r>
    </w:p>
    <w:p>
      <w:pPr>
        <w:pStyle w:val="17"/>
        <w:spacing w:line="360" w:lineRule="auto"/>
        <w:ind w:firstLine="480" w:firstLineChars="200"/>
        <w:rPr>
          <w:rFonts w:hint="eastAsia"/>
        </w:rPr>
      </w:pPr>
      <w:r>
        <w:rPr>
          <w:rFonts w:hint="eastAsia"/>
        </w:rPr>
        <w:t>7、</w:t>
      </w:r>
      <w:r>
        <w:t xml:space="preserve">通知债权人，与债权人进行沟通，对债务达成处置办法； </w:t>
      </w:r>
    </w:p>
    <w:p>
      <w:pPr>
        <w:pStyle w:val="17"/>
        <w:spacing w:line="360" w:lineRule="auto"/>
        <w:ind w:firstLine="480" w:firstLineChars="200"/>
      </w:pPr>
      <w:r>
        <w:t>8、办理其他以上虽未列明但为本次股份回购所必须的事项。</w:t>
      </w:r>
    </w:p>
    <w:p>
      <w:pPr>
        <w:pStyle w:val="17"/>
        <w:spacing w:line="360" w:lineRule="auto"/>
        <w:ind w:firstLine="480" w:firstLineChars="200"/>
      </w:pPr>
      <w:r>
        <w:t>上述授权自公司本次董事会审议通过之日起至上述授权事项办理完毕之日止。</w:t>
      </w:r>
    </w:p>
    <w:p>
      <w:pPr>
        <w:pStyle w:val="17"/>
        <w:spacing w:before="156" w:beforeLines="50" w:line="360" w:lineRule="auto"/>
        <w:ind w:firstLine="472" w:firstLineChars="196"/>
        <w:rPr>
          <w:b/>
        </w:rPr>
      </w:pPr>
      <w:r>
        <w:rPr>
          <w:rFonts w:hint="eastAsia"/>
          <w:b/>
        </w:rPr>
        <w:t>十</w:t>
      </w:r>
      <w:r>
        <w:rPr>
          <w:rFonts w:hint="eastAsia"/>
          <w:b/>
          <w:lang w:val="en-US" w:eastAsia="zh-CN"/>
        </w:rPr>
        <w:t>二</w:t>
      </w:r>
      <w:r>
        <w:rPr>
          <w:rFonts w:hint="eastAsia"/>
          <w:b/>
        </w:rPr>
        <w:t>、回购方案的审议程序</w:t>
      </w:r>
      <w:r>
        <w:rPr>
          <w:b/>
        </w:rPr>
        <w:t xml:space="preserve"> </w:t>
      </w:r>
    </w:p>
    <w:p>
      <w:pPr>
        <w:pStyle w:val="17"/>
        <w:spacing w:line="360" w:lineRule="auto"/>
        <w:ind w:firstLine="480" w:firstLineChars="200"/>
      </w:pPr>
      <w:r>
        <w:t>202</w:t>
      </w:r>
      <w:r>
        <w:rPr>
          <w:rFonts w:hint="eastAsia"/>
          <w:lang w:val="en-US" w:eastAsia="zh-CN"/>
        </w:rPr>
        <w:t>4</w:t>
      </w:r>
      <w:r>
        <w:t>年</w:t>
      </w:r>
      <w:r>
        <w:rPr>
          <w:rFonts w:hint="eastAsia"/>
          <w:lang w:val="en-US" w:eastAsia="zh-CN"/>
        </w:rPr>
        <w:t>2</w:t>
      </w:r>
      <w:r>
        <w:t>月2</w:t>
      </w:r>
      <w:r>
        <w:rPr>
          <w:rFonts w:hint="eastAsia"/>
          <w:lang w:val="en-US" w:eastAsia="zh-CN"/>
        </w:rPr>
        <w:t>8</w:t>
      </w:r>
      <w:r>
        <w:t>日，公司召开第</w:t>
      </w:r>
      <w:r>
        <w:rPr>
          <w:rFonts w:hint="eastAsia"/>
          <w:lang w:val="en-US" w:eastAsia="zh-CN"/>
        </w:rPr>
        <w:t>五</w:t>
      </w:r>
      <w:r>
        <w:t>届董事会第</w:t>
      </w:r>
      <w:r>
        <w:rPr>
          <w:rFonts w:hint="eastAsia"/>
          <w:lang w:val="en-US" w:eastAsia="zh-CN"/>
        </w:rPr>
        <w:t>九</w:t>
      </w:r>
      <w:r>
        <w:t>次会议，审议通过《关于回购公司股份</w:t>
      </w:r>
      <w:r>
        <w:rPr>
          <w:rFonts w:hint="eastAsia"/>
        </w:rPr>
        <w:t>方案</w:t>
      </w:r>
      <w:r>
        <w:t xml:space="preserve">的议案》。 </w:t>
      </w:r>
    </w:p>
    <w:p>
      <w:pPr>
        <w:pStyle w:val="17"/>
        <w:spacing w:line="360" w:lineRule="auto"/>
        <w:ind w:firstLine="480" w:firstLineChars="200"/>
        <w:rPr>
          <w:rFonts w:hint="eastAsia" w:hAnsi="宋体"/>
          <w:lang w:bidi="ar"/>
        </w:rPr>
      </w:pPr>
      <w:r>
        <w:t>根据《公司章程》第二十</w:t>
      </w:r>
      <w:r>
        <w:rPr>
          <w:rFonts w:hint="eastAsia"/>
          <w:lang w:val="en-US" w:eastAsia="zh-CN"/>
        </w:rPr>
        <w:t>四</w:t>
      </w:r>
      <w:r>
        <w:t>条的规定，</w:t>
      </w:r>
      <w:r>
        <w:rPr>
          <w:rFonts w:hint="eastAsia"/>
          <w:lang w:val="en-US" w:eastAsia="zh-CN"/>
        </w:rPr>
        <w:t>公司为维护公司价值及股东权益所必需</w:t>
      </w:r>
      <w:r>
        <w:t>回购本公司股份，经三分之二以上董事出席的董事会会议决议同意，无需提交公司股东大会审议。</w:t>
      </w:r>
    </w:p>
    <w:p>
      <w:pPr>
        <w:pStyle w:val="17"/>
        <w:spacing w:line="360" w:lineRule="auto"/>
        <w:ind w:firstLine="472" w:firstLineChars="196"/>
        <w:rPr>
          <w:b/>
        </w:rPr>
      </w:pPr>
      <w:r>
        <w:rPr>
          <w:b/>
        </w:rPr>
        <w:t>十</w:t>
      </w:r>
      <w:r>
        <w:rPr>
          <w:rFonts w:hint="eastAsia"/>
          <w:b/>
          <w:lang w:val="en-US" w:eastAsia="zh-CN"/>
        </w:rPr>
        <w:t>三</w:t>
      </w:r>
      <w:r>
        <w:rPr>
          <w:b/>
        </w:rPr>
        <w:t>、回购方案的不确定性风险</w:t>
      </w:r>
    </w:p>
    <w:p>
      <w:pPr>
        <w:pStyle w:val="17"/>
        <w:spacing w:line="360" w:lineRule="auto"/>
        <w:ind w:firstLine="480" w:firstLineChars="200"/>
        <w:rPr>
          <w:rFonts w:hint="eastAsia"/>
        </w:rPr>
      </w:pPr>
      <w:r>
        <w:t xml:space="preserve">1、本次回购事项存在回购期限内因股票价格持续超出回购价格上限，进而 导致本次回购方案无法顺利实施或者只能部分实施等不确定性风险； </w:t>
      </w:r>
    </w:p>
    <w:p>
      <w:pPr>
        <w:pStyle w:val="17"/>
        <w:spacing w:line="360" w:lineRule="auto"/>
        <w:ind w:firstLine="480" w:firstLineChars="200"/>
        <w:rPr>
          <w:rFonts w:hint="eastAsia"/>
        </w:rPr>
      </w:pPr>
      <w:r>
        <w:t>2、本次回购存在因对公司股票交易价格产生重大影响的重大事项发生或公 司董事会决定终止本次回购方案等而无法实施的风险；</w:t>
      </w:r>
    </w:p>
    <w:p>
      <w:pPr>
        <w:pStyle w:val="17"/>
        <w:spacing w:line="360" w:lineRule="auto"/>
        <w:ind w:firstLine="480" w:firstLineChars="200"/>
        <w:rPr>
          <w:rFonts w:hint="eastAsia"/>
        </w:rPr>
      </w:pPr>
      <w:r>
        <w:rPr>
          <w:rFonts w:hint="eastAsia"/>
        </w:rPr>
        <w:t>3、本次回购股份拟按照有关回购规则和监管指引要求在规定期限内予以出售，若因相关情况变化，公司未能实施上述用途，则存在变更用途的风险；如未使用部分拟依法注销，则存在债权人要求公司提前清偿债务或要求公司提供相应担保的风险。</w:t>
      </w:r>
    </w:p>
    <w:p>
      <w:pPr>
        <w:pStyle w:val="17"/>
        <w:spacing w:line="360" w:lineRule="auto"/>
        <w:ind w:firstLine="480" w:firstLineChars="200"/>
        <w:rPr>
          <w:rFonts w:hint="eastAsia"/>
        </w:rPr>
      </w:pPr>
      <w:r>
        <w:rPr>
          <w:rFonts w:hint="eastAsia"/>
        </w:rPr>
        <w:t>公司将努力推进本次回购方案的顺利实施，在回购期限内根据市场情况择机实施回购，并根据回购股份事项进展情况及时履行信息披露义务，敬请广大投资者注意投资风险。</w:t>
      </w:r>
      <w:r>
        <w:t xml:space="preserve"> </w:t>
      </w:r>
    </w:p>
    <w:p>
      <w:pPr>
        <w:pStyle w:val="17"/>
        <w:spacing w:line="360" w:lineRule="auto"/>
        <w:ind w:firstLine="472" w:firstLineChars="196"/>
        <w:rPr>
          <w:b/>
        </w:rPr>
      </w:pPr>
      <w:r>
        <w:rPr>
          <w:rFonts w:hint="eastAsia"/>
          <w:b/>
        </w:rPr>
        <w:t>十</w:t>
      </w:r>
      <w:r>
        <w:rPr>
          <w:rFonts w:hint="eastAsia"/>
          <w:b/>
          <w:lang w:val="en-US" w:eastAsia="zh-CN"/>
        </w:rPr>
        <w:t>四</w:t>
      </w:r>
      <w:r>
        <w:rPr>
          <w:rFonts w:hint="eastAsia"/>
          <w:b/>
        </w:rPr>
        <w:t>、备查文件</w:t>
      </w:r>
      <w:r>
        <w:rPr>
          <w:b/>
        </w:rPr>
        <w:t xml:space="preserve"> </w:t>
      </w:r>
    </w:p>
    <w:p>
      <w:pPr>
        <w:pStyle w:val="17"/>
        <w:spacing w:line="360" w:lineRule="auto"/>
        <w:ind w:firstLine="480" w:firstLineChars="200"/>
        <w:rPr>
          <w:rFonts w:hint="eastAsia" w:hAnsi="宋体"/>
        </w:rPr>
      </w:pPr>
      <w:r>
        <w:rPr>
          <w:rFonts w:hAnsi="宋体" w:cs="Times New Roman"/>
        </w:rPr>
        <w:t>1</w:t>
      </w:r>
      <w:r>
        <w:rPr>
          <w:rFonts w:hint="eastAsia" w:hAnsi="宋体"/>
        </w:rPr>
        <w:t>、公司第</w:t>
      </w:r>
      <w:r>
        <w:rPr>
          <w:rFonts w:hint="eastAsia" w:hAnsi="宋体"/>
          <w:lang w:val="en-US" w:eastAsia="zh-CN"/>
        </w:rPr>
        <w:t>五</w:t>
      </w:r>
      <w:r>
        <w:rPr>
          <w:rFonts w:hint="eastAsia" w:hAnsi="宋体"/>
        </w:rPr>
        <w:t>届董事会第</w:t>
      </w:r>
      <w:r>
        <w:rPr>
          <w:rFonts w:hint="eastAsia" w:hAnsi="宋体"/>
          <w:lang w:val="en-US" w:eastAsia="zh-CN"/>
        </w:rPr>
        <w:t>九</w:t>
      </w:r>
      <w:r>
        <w:rPr>
          <w:rFonts w:hint="eastAsia" w:hAnsi="宋体"/>
        </w:rPr>
        <w:t>次会议决议；</w:t>
      </w:r>
      <w:r>
        <w:rPr>
          <w:rFonts w:hAnsi="宋体"/>
        </w:rPr>
        <w:t xml:space="preserve"> </w:t>
      </w:r>
    </w:p>
    <w:p>
      <w:pPr>
        <w:pStyle w:val="17"/>
        <w:spacing w:line="360" w:lineRule="auto"/>
        <w:ind w:firstLine="470" w:firstLineChars="196"/>
        <w:rPr>
          <w:rFonts w:hint="eastAsia"/>
        </w:rPr>
      </w:pPr>
    </w:p>
    <w:p>
      <w:pPr>
        <w:spacing w:line="360" w:lineRule="auto"/>
        <w:ind w:firstLine="480" w:firstLineChars="200"/>
        <w:rPr>
          <w:rFonts w:hint="eastAsia" w:ascii="宋体" w:hAnsi="宋体"/>
          <w:sz w:val="24"/>
          <w:szCs w:val="24"/>
        </w:rPr>
      </w:pPr>
      <w:r>
        <w:rPr>
          <w:rFonts w:hint="eastAsia" w:ascii="宋体" w:hAnsi="宋体"/>
          <w:sz w:val="24"/>
          <w:szCs w:val="24"/>
        </w:rPr>
        <w:t>特此公告。</w:t>
      </w:r>
    </w:p>
    <w:p>
      <w:pPr>
        <w:spacing w:line="360" w:lineRule="auto"/>
        <w:ind w:firstLine="480" w:firstLineChars="200"/>
        <w:rPr>
          <w:rFonts w:hint="eastAsia" w:ascii="宋体" w:hAnsi="宋体"/>
          <w:sz w:val="24"/>
          <w:szCs w:val="24"/>
        </w:rPr>
      </w:pPr>
    </w:p>
    <w:p>
      <w:pPr>
        <w:spacing w:line="360" w:lineRule="auto"/>
        <w:jc w:val="left"/>
        <w:rPr>
          <w:rFonts w:hint="eastAsia"/>
          <w:sz w:val="28"/>
          <w:szCs w:val="28"/>
        </w:rPr>
      </w:pP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杭州初灵信息技术股份有限公司</w:t>
      </w:r>
    </w:p>
    <w:p>
      <w:pPr>
        <w:spacing w:line="360" w:lineRule="auto"/>
        <w:ind w:firstLine="480" w:firstLineChars="200"/>
        <w:jc w:val="center"/>
        <w:rPr>
          <w:rFonts w:hint="eastAsia" w:ascii="宋体" w:hAnsi="宋体"/>
          <w:sz w:val="24"/>
          <w:szCs w:val="24"/>
        </w:rPr>
      </w:pPr>
      <w:r>
        <w:rPr>
          <w:rFonts w:hint="eastAsia" w:ascii="宋体" w:hAnsi="宋体"/>
          <w:sz w:val="24"/>
          <w:szCs w:val="24"/>
        </w:rPr>
        <w:t xml:space="preserve">                       董 事 会</w:t>
      </w:r>
    </w:p>
    <w:p>
      <w:pPr>
        <w:spacing w:line="360" w:lineRule="auto"/>
        <w:ind w:firstLine="480" w:firstLineChars="200"/>
        <w:jc w:val="center"/>
        <w:rPr>
          <w:rFonts w:hint="eastAsia"/>
          <w:color w:val="FF0000"/>
          <w:sz w:val="28"/>
          <w:szCs w:val="28"/>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2</w:t>
      </w:r>
      <w:r>
        <w:rPr>
          <w:rFonts w:hint="eastAsia" w:ascii="宋体" w:hAnsi="宋体"/>
          <w:sz w:val="24"/>
          <w:szCs w:val="24"/>
        </w:rPr>
        <w:t>月2</w:t>
      </w:r>
      <w:r>
        <w:rPr>
          <w:rFonts w:hint="eastAsia" w:ascii="宋体" w:hAnsi="宋体"/>
          <w:sz w:val="24"/>
          <w:szCs w:val="24"/>
          <w:lang w:val="en-US" w:eastAsia="zh-CN"/>
        </w:rPr>
        <w:t>8</w:t>
      </w:r>
      <w:r>
        <w:rPr>
          <w:rFonts w:hint="eastAsia" w:ascii="宋体" w:hAnsi="宋体"/>
          <w:sz w:val="24"/>
          <w:szCs w:val="24"/>
        </w:rPr>
        <w:t>日</w:t>
      </w:r>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72E08"/>
    <w:multiLevelType w:val="singleLevel"/>
    <w:tmpl w:val="07972E08"/>
    <w:lvl w:ilvl="0" w:tentative="0">
      <w:start w:val="1"/>
      <w:numFmt w:val="decimal"/>
      <w:suff w:val="nothing"/>
      <w:lvlText w:val="%1、"/>
      <w:lvlJc w:val="left"/>
    </w:lvl>
  </w:abstractNum>
  <w:abstractNum w:abstractNumId="1">
    <w:nsid w:val="118679FE"/>
    <w:multiLevelType w:val="multilevel"/>
    <w:tmpl w:val="118679FE"/>
    <w:lvl w:ilvl="0" w:tentative="0">
      <w:start w:val="1"/>
      <w:numFmt w:val="chineseCountingThousand"/>
      <w:lvlText w:val="第%1条"/>
      <w:lvlJc w:val="left"/>
      <w:pPr>
        <w:tabs>
          <w:tab w:val="left" w:pos="4280"/>
        </w:tabs>
        <w:ind w:left="4280" w:hanging="680"/>
      </w:pPr>
      <w:rPr>
        <w:rFonts w:ascii="宋体" w:hAnsi="宋体" w:eastAsia="宋体"/>
        <w:lang w:val="en-US"/>
      </w:rPr>
    </w:lvl>
    <w:lvl w:ilvl="1" w:tentative="0">
      <w:start w:val="1"/>
      <w:numFmt w:val="decimal"/>
      <w:pStyle w:val="2"/>
      <w:isLgl/>
      <w:lvlText w:val="%1.%2"/>
      <w:lvlJc w:val="left"/>
      <w:pPr>
        <w:tabs>
          <w:tab w:val="left" w:pos="860"/>
        </w:tabs>
        <w:ind w:left="860" w:hanging="680"/>
      </w:pPr>
      <w:rPr>
        <w:rFonts w:ascii="宋体" w:hAnsi="宋体" w:eastAsia="宋体"/>
      </w:rPr>
    </w:lvl>
    <w:lvl w:ilvl="2" w:tentative="0">
      <w:start w:val="1"/>
      <w:numFmt w:val="decimal"/>
      <w:lvlText w:val="(%3)"/>
      <w:lvlJc w:val="left"/>
      <w:pPr>
        <w:tabs>
          <w:tab w:val="left" w:pos="1100"/>
        </w:tabs>
        <w:ind w:left="1100" w:hanging="420"/>
      </w:pPr>
      <w:rPr>
        <w:rFonts w:hint="eastAsia" w:ascii="宋体" w:hAnsi="宋体" w:eastAsia="宋体"/>
      </w:rPr>
    </w:lvl>
    <w:lvl w:ilvl="3" w:tentative="0">
      <w:start w:val="1"/>
      <w:numFmt w:val="decimal"/>
      <w:isLgl/>
      <w:lvlText w:val="%1.%2.%3.%4"/>
      <w:lvlJc w:val="left"/>
      <w:pPr>
        <w:tabs>
          <w:tab w:val="left" w:pos="1701"/>
        </w:tabs>
        <w:ind w:left="1701" w:hanging="283"/>
      </w:pPr>
    </w:lvl>
    <w:lvl w:ilvl="4" w:tentative="0">
      <w:start w:val="1"/>
      <w:numFmt w:val="lowerRoman"/>
      <w:lvlText w:val="(%5)"/>
      <w:lvlJc w:val="left"/>
      <w:pPr>
        <w:tabs>
          <w:tab w:val="left" w:pos="2160"/>
        </w:tabs>
        <w:ind w:left="2160" w:hanging="720"/>
      </w:pPr>
      <w:rPr>
        <w:rFonts w:hint="default"/>
        <w:b w:val="0"/>
      </w:rPr>
    </w:lvl>
    <w:lvl w:ilvl="5" w:tentative="0">
      <w:start w:val="1"/>
      <w:numFmt w:val="upperLetter"/>
      <w:lvlText w:val="%6."/>
      <w:lvlJc w:val="left"/>
      <w:pPr>
        <w:tabs>
          <w:tab w:val="left" w:pos="2160"/>
        </w:tabs>
        <w:ind w:left="2160" w:hanging="720"/>
      </w:pPr>
      <w:rPr>
        <w:rFonts w:hint="default"/>
      </w:rPr>
    </w:lvl>
    <w:lvl w:ilvl="6" w:tentative="0">
      <w:start w:val="1"/>
      <w:numFmt w:val="upperRoman"/>
      <w:lvlText w:val="%7."/>
      <w:lvlJc w:val="left"/>
      <w:pPr>
        <w:tabs>
          <w:tab w:val="left" w:pos="2880"/>
        </w:tabs>
        <w:ind w:left="2880" w:hanging="720"/>
      </w:pPr>
      <w:rPr>
        <w:rFonts w:hint="default"/>
        <w:b/>
      </w:rPr>
    </w:lvl>
    <w:lvl w:ilvl="7" w:tentative="0">
      <w:start w:val="1"/>
      <w:numFmt w:val="decimal"/>
      <w:lvlText w:val="(%8)"/>
      <w:lvlJc w:val="left"/>
      <w:pPr>
        <w:tabs>
          <w:tab w:val="left" w:pos="3600"/>
        </w:tabs>
        <w:ind w:left="3600" w:hanging="720"/>
      </w:pPr>
      <w:rPr>
        <w:rFonts w:hint="default"/>
      </w:rPr>
    </w:lvl>
    <w:lvl w:ilvl="8" w:tentative="0">
      <w:start w:val="1"/>
      <w:numFmt w:val="decimal"/>
      <w:lvlText w:val="%9."/>
      <w:lvlJc w:val="left"/>
      <w:pPr>
        <w:tabs>
          <w:tab w:val="left" w:pos="4321"/>
        </w:tabs>
        <w:ind w:left="4321" w:hanging="721"/>
      </w:pPr>
      <w:rPr>
        <w:rFonts w:hint="default"/>
      </w:rPr>
    </w:lvl>
  </w:abstractNum>
  <w:abstractNum w:abstractNumId="2">
    <w:nsid w:val="5D039746"/>
    <w:multiLevelType w:val="singleLevel"/>
    <w:tmpl w:val="5D0397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2NjY2I1NzYzYzJhZjdhYTI4MmU0OGE1N2ZiN2QifQ=="/>
  </w:docVars>
  <w:rsids>
    <w:rsidRoot w:val="001E770A"/>
    <w:rsid w:val="000031E7"/>
    <w:rsid w:val="0000340D"/>
    <w:rsid w:val="000050A4"/>
    <w:rsid w:val="00005C3F"/>
    <w:rsid w:val="00005DFF"/>
    <w:rsid w:val="00007715"/>
    <w:rsid w:val="0001211D"/>
    <w:rsid w:val="00012288"/>
    <w:rsid w:val="00013562"/>
    <w:rsid w:val="00013784"/>
    <w:rsid w:val="000174B3"/>
    <w:rsid w:val="00021871"/>
    <w:rsid w:val="00022094"/>
    <w:rsid w:val="00022C00"/>
    <w:rsid w:val="0002376A"/>
    <w:rsid w:val="000250B0"/>
    <w:rsid w:val="000267A4"/>
    <w:rsid w:val="00026924"/>
    <w:rsid w:val="000313F2"/>
    <w:rsid w:val="000322C0"/>
    <w:rsid w:val="00032336"/>
    <w:rsid w:val="00032E90"/>
    <w:rsid w:val="000330CB"/>
    <w:rsid w:val="000332BF"/>
    <w:rsid w:val="00034555"/>
    <w:rsid w:val="000346CE"/>
    <w:rsid w:val="00036E67"/>
    <w:rsid w:val="00037027"/>
    <w:rsid w:val="0003711D"/>
    <w:rsid w:val="000420DE"/>
    <w:rsid w:val="00042C12"/>
    <w:rsid w:val="00042F4E"/>
    <w:rsid w:val="0004343F"/>
    <w:rsid w:val="000509CC"/>
    <w:rsid w:val="00050DDB"/>
    <w:rsid w:val="000526C0"/>
    <w:rsid w:val="00055FCF"/>
    <w:rsid w:val="000617EB"/>
    <w:rsid w:val="000630D6"/>
    <w:rsid w:val="00064854"/>
    <w:rsid w:val="0006496E"/>
    <w:rsid w:val="00065564"/>
    <w:rsid w:val="000655E8"/>
    <w:rsid w:val="00067323"/>
    <w:rsid w:val="00071473"/>
    <w:rsid w:val="0007341C"/>
    <w:rsid w:val="00076DB8"/>
    <w:rsid w:val="000779D9"/>
    <w:rsid w:val="00077A11"/>
    <w:rsid w:val="00082E48"/>
    <w:rsid w:val="0008383A"/>
    <w:rsid w:val="00090399"/>
    <w:rsid w:val="000911CC"/>
    <w:rsid w:val="00091E4D"/>
    <w:rsid w:val="000923B5"/>
    <w:rsid w:val="0009275B"/>
    <w:rsid w:val="00092F11"/>
    <w:rsid w:val="0009338E"/>
    <w:rsid w:val="00095DDB"/>
    <w:rsid w:val="0009676E"/>
    <w:rsid w:val="000974FB"/>
    <w:rsid w:val="000A1199"/>
    <w:rsid w:val="000A1C4B"/>
    <w:rsid w:val="000A1D61"/>
    <w:rsid w:val="000A2509"/>
    <w:rsid w:val="000A2B37"/>
    <w:rsid w:val="000A2F81"/>
    <w:rsid w:val="000A424E"/>
    <w:rsid w:val="000A4E66"/>
    <w:rsid w:val="000A4F62"/>
    <w:rsid w:val="000A549E"/>
    <w:rsid w:val="000B1BDC"/>
    <w:rsid w:val="000B1BDF"/>
    <w:rsid w:val="000B2553"/>
    <w:rsid w:val="000B49D9"/>
    <w:rsid w:val="000B61B4"/>
    <w:rsid w:val="000B66D0"/>
    <w:rsid w:val="000B6A73"/>
    <w:rsid w:val="000B6B2C"/>
    <w:rsid w:val="000B6B7D"/>
    <w:rsid w:val="000B7868"/>
    <w:rsid w:val="000C3070"/>
    <w:rsid w:val="000C64EE"/>
    <w:rsid w:val="000C6EEA"/>
    <w:rsid w:val="000D1662"/>
    <w:rsid w:val="000D16C2"/>
    <w:rsid w:val="000D183C"/>
    <w:rsid w:val="000D3154"/>
    <w:rsid w:val="000D54F3"/>
    <w:rsid w:val="000E0E48"/>
    <w:rsid w:val="000E3985"/>
    <w:rsid w:val="000E58A7"/>
    <w:rsid w:val="000E7CC1"/>
    <w:rsid w:val="000F1C29"/>
    <w:rsid w:val="000F2414"/>
    <w:rsid w:val="000F3EB2"/>
    <w:rsid w:val="000F5995"/>
    <w:rsid w:val="00100B92"/>
    <w:rsid w:val="0010166F"/>
    <w:rsid w:val="001018A2"/>
    <w:rsid w:val="00102559"/>
    <w:rsid w:val="00102FD3"/>
    <w:rsid w:val="00103ED7"/>
    <w:rsid w:val="00104F5D"/>
    <w:rsid w:val="001068D2"/>
    <w:rsid w:val="001110FA"/>
    <w:rsid w:val="0011150C"/>
    <w:rsid w:val="00111909"/>
    <w:rsid w:val="00111CCC"/>
    <w:rsid w:val="00111DA5"/>
    <w:rsid w:val="00112833"/>
    <w:rsid w:val="00113D12"/>
    <w:rsid w:val="00113D5D"/>
    <w:rsid w:val="0011411C"/>
    <w:rsid w:val="0011666E"/>
    <w:rsid w:val="00116F3B"/>
    <w:rsid w:val="001176AF"/>
    <w:rsid w:val="00120FD7"/>
    <w:rsid w:val="00123DB5"/>
    <w:rsid w:val="00127374"/>
    <w:rsid w:val="001277ED"/>
    <w:rsid w:val="00127FBC"/>
    <w:rsid w:val="001348CD"/>
    <w:rsid w:val="00144B28"/>
    <w:rsid w:val="0014549E"/>
    <w:rsid w:val="001468EC"/>
    <w:rsid w:val="00146A8F"/>
    <w:rsid w:val="00147275"/>
    <w:rsid w:val="0014784C"/>
    <w:rsid w:val="0014788B"/>
    <w:rsid w:val="0015031E"/>
    <w:rsid w:val="001509FD"/>
    <w:rsid w:val="00150DBF"/>
    <w:rsid w:val="0015219B"/>
    <w:rsid w:val="00153381"/>
    <w:rsid w:val="00154DCA"/>
    <w:rsid w:val="00156035"/>
    <w:rsid w:val="00157B32"/>
    <w:rsid w:val="00160418"/>
    <w:rsid w:val="00160A2C"/>
    <w:rsid w:val="00161056"/>
    <w:rsid w:val="001612D8"/>
    <w:rsid w:val="0016230E"/>
    <w:rsid w:val="00162521"/>
    <w:rsid w:val="0016272E"/>
    <w:rsid w:val="00162CBE"/>
    <w:rsid w:val="00163505"/>
    <w:rsid w:val="001637A0"/>
    <w:rsid w:val="00164A7F"/>
    <w:rsid w:val="00164C7B"/>
    <w:rsid w:val="001659E9"/>
    <w:rsid w:val="00165A3D"/>
    <w:rsid w:val="00165E91"/>
    <w:rsid w:val="00170210"/>
    <w:rsid w:val="001703B8"/>
    <w:rsid w:val="001708DC"/>
    <w:rsid w:val="00170BDE"/>
    <w:rsid w:val="001710BA"/>
    <w:rsid w:val="00172103"/>
    <w:rsid w:val="00173D9C"/>
    <w:rsid w:val="0017524E"/>
    <w:rsid w:val="00176708"/>
    <w:rsid w:val="00177FFD"/>
    <w:rsid w:val="0018106D"/>
    <w:rsid w:val="00182A1C"/>
    <w:rsid w:val="00182CF7"/>
    <w:rsid w:val="0018356C"/>
    <w:rsid w:val="00184551"/>
    <w:rsid w:val="00190DD0"/>
    <w:rsid w:val="00191567"/>
    <w:rsid w:val="001939A2"/>
    <w:rsid w:val="001946AB"/>
    <w:rsid w:val="001957FB"/>
    <w:rsid w:val="00195C69"/>
    <w:rsid w:val="001A10F4"/>
    <w:rsid w:val="001A3808"/>
    <w:rsid w:val="001A41CB"/>
    <w:rsid w:val="001A47DA"/>
    <w:rsid w:val="001A5B38"/>
    <w:rsid w:val="001A7679"/>
    <w:rsid w:val="001A7CC2"/>
    <w:rsid w:val="001B1DA0"/>
    <w:rsid w:val="001B2F32"/>
    <w:rsid w:val="001B32CC"/>
    <w:rsid w:val="001B5E51"/>
    <w:rsid w:val="001B5FDD"/>
    <w:rsid w:val="001B6E47"/>
    <w:rsid w:val="001B760E"/>
    <w:rsid w:val="001B7718"/>
    <w:rsid w:val="001C09BB"/>
    <w:rsid w:val="001C15BC"/>
    <w:rsid w:val="001C1BAC"/>
    <w:rsid w:val="001C20DE"/>
    <w:rsid w:val="001C237F"/>
    <w:rsid w:val="001C30DC"/>
    <w:rsid w:val="001C3AF2"/>
    <w:rsid w:val="001C6B5F"/>
    <w:rsid w:val="001D14F2"/>
    <w:rsid w:val="001D25A9"/>
    <w:rsid w:val="001D394B"/>
    <w:rsid w:val="001D5819"/>
    <w:rsid w:val="001D6C0D"/>
    <w:rsid w:val="001D7EBD"/>
    <w:rsid w:val="001E1EF9"/>
    <w:rsid w:val="001E3529"/>
    <w:rsid w:val="001E4F93"/>
    <w:rsid w:val="001E62EC"/>
    <w:rsid w:val="001E6D7E"/>
    <w:rsid w:val="001E770A"/>
    <w:rsid w:val="001E78C6"/>
    <w:rsid w:val="001E7A3A"/>
    <w:rsid w:val="001F0BE0"/>
    <w:rsid w:val="001F3E13"/>
    <w:rsid w:val="001F412C"/>
    <w:rsid w:val="001F4A7F"/>
    <w:rsid w:val="00202B70"/>
    <w:rsid w:val="00203D0B"/>
    <w:rsid w:val="00205103"/>
    <w:rsid w:val="00206828"/>
    <w:rsid w:val="0021337B"/>
    <w:rsid w:val="00213C22"/>
    <w:rsid w:val="00216154"/>
    <w:rsid w:val="002178D4"/>
    <w:rsid w:val="002210BD"/>
    <w:rsid w:val="00224956"/>
    <w:rsid w:val="00224DA3"/>
    <w:rsid w:val="00227FAC"/>
    <w:rsid w:val="002304C8"/>
    <w:rsid w:val="00231847"/>
    <w:rsid w:val="00232EFB"/>
    <w:rsid w:val="002342D1"/>
    <w:rsid w:val="00236921"/>
    <w:rsid w:val="00237672"/>
    <w:rsid w:val="00241B54"/>
    <w:rsid w:val="00241E42"/>
    <w:rsid w:val="00242255"/>
    <w:rsid w:val="0024629F"/>
    <w:rsid w:val="002473C5"/>
    <w:rsid w:val="00247D7A"/>
    <w:rsid w:val="00247E3A"/>
    <w:rsid w:val="002505FB"/>
    <w:rsid w:val="00251901"/>
    <w:rsid w:val="00251E8E"/>
    <w:rsid w:val="00251F5D"/>
    <w:rsid w:val="00253000"/>
    <w:rsid w:val="00253A1A"/>
    <w:rsid w:val="00255B10"/>
    <w:rsid w:val="00255C72"/>
    <w:rsid w:val="00256A25"/>
    <w:rsid w:val="00257330"/>
    <w:rsid w:val="002612A8"/>
    <w:rsid w:val="00261CA9"/>
    <w:rsid w:val="00265C9B"/>
    <w:rsid w:val="00267193"/>
    <w:rsid w:val="00267CD0"/>
    <w:rsid w:val="00267D9C"/>
    <w:rsid w:val="002718F0"/>
    <w:rsid w:val="002729DA"/>
    <w:rsid w:val="002745A7"/>
    <w:rsid w:val="00274DFF"/>
    <w:rsid w:val="00275D73"/>
    <w:rsid w:val="00276315"/>
    <w:rsid w:val="002823B6"/>
    <w:rsid w:val="00283872"/>
    <w:rsid w:val="00283E02"/>
    <w:rsid w:val="002853A6"/>
    <w:rsid w:val="00286B44"/>
    <w:rsid w:val="00287ADA"/>
    <w:rsid w:val="00291A70"/>
    <w:rsid w:val="00291C18"/>
    <w:rsid w:val="00291CD6"/>
    <w:rsid w:val="002942A1"/>
    <w:rsid w:val="00295399"/>
    <w:rsid w:val="00297632"/>
    <w:rsid w:val="00297EEB"/>
    <w:rsid w:val="002A07FC"/>
    <w:rsid w:val="002A1015"/>
    <w:rsid w:val="002A161E"/>
    <w:rsid w:val="002A2084"/>
    <w:rsid w:val="002A3B76"/>
    <w:rsid w:val="002A3DC1"/>
    <w:rsid w:val="002A50C1"/>
    <w:rsid w:val="002A54EC"/>
    <w:rsid w:val="002A6284"/>
    <w:rsid w:val="002A6646"/>
    <w:rsid w:val="002A68EE"/>
    <w:rsid w:val="002A69C4"/>
    <w:rsid w:val="002A7713"/>
    <w:rsid w:val="002B0D7E"/>
    <w:rsid w:val="002B1CCA"/>
    <w:rsid w:val="002B1DA8"/>
    <w:rsid w:val="002B27FE"/>
    <w:rsid w:val="002B42F5"/>
    <w:rsid w:val="002B44E8"/>
    <w:rsid w:val="002B5B23"/>
    <w:rsid w:val="002B7C66"/>
    <w:rsid w:val="002B7C9D"/>
    <w:rsid w:val="002C1280"/>
    <w:rsid w:val="002C230D"/>
    <w:rsid w:val="002C30FD"/>
    <w:rsid w:val="002C47FA"/>
    <w:rsid w:val="002C5044"/>
    <w:rsid w:val="002C53E2"/>
    <w:rsid w:val="002C5C21"/>
    <w:rsid w:val="002C6023"/>
    <w:rsid w:val="002D0054"/>
    <w:rsid w:val="002D1302"/>
    <w:rsid w:val="002D143F"/>
    <w:rsid w:val="002D39AB"/>
    <w:rsid w:val="002D6343"/>
    <w:rsid w:val="002D6852"/>
    <w:rsid w:val="002D6E75"/>
    <w:rsid w:val="002E3282"/>
    <w:rsid w:val="002E36DE"/>
    <w:rsid w:val="002E3AB2"/>
    <w:rsid w:val="002E4A08"/>
    <w:rsid w:val="002E54A4"/>
    <w:rsid w:val="002F26B2"/>
    <w:rsid w:val="002F4AD8"/>
    <w:rsid w:val="003004EB"/>
    <w:rsid w:val="00300D98"/>
    <w:rsid w:val="0030175E"/>
    <w:rsid w:val="00301A70"/>
    <w:rsid w:val="0030461B"/>
    <w:rsid w:val="0030532E"/>
    <w:rsid w:val="00305A9B"/>
    <w:rsid w:val="00305ECF"/>
    <w:rsid w:val="003127F7"/>
    <w:rsid w:val="003129B9"/>
    <w:rsid w:val="00313769"/>
    <w:rsid w:val="003156BD"/>
    <w:rsid w:val="003171A5"/>
    <w:rsid w:val="003209C7"/>
    <w:rsid w:val="003213A9"/>
    <w:rsid w:val="00322231"/>
    <w:rsid w:val="00322B4C"/>
    <w:rsid w:val="00325E06"/>
    <w:rsid w:val="00326B39"/>
    <w:rsid w:val="00327092"/>
    <w:rsid w:val="003277C6"/>
    <w:rsid w:val="00331000"/>
    <w:rsid w:val="00334133"/>
    <w:rsid w:val="003341C5"/>
    <w:rsid w:val="00336E27"/>
    <w:rsid w:val="00336FE3"/>
    <w:rsid w:val="00341FB2"/>
    <w:rsid w:val="00343289"/>
    <w:rsid w:val="00343AF3"/>
    <w:rsid w:val="00344F35"/>
    <w:rsid w:val="00347E03"/>
    <w:rsid w:val="00352904"/>
    <w:rsid w:val="00352EC6"/>
    <w:rsid w:val="003541A6"/>
    <w:rsid w:val="003550DD"/>
    <w:rsid w:val="0035676D"/>
    <w:rsid w:val="00356801"/>
    <w:rsid w:val="00362E7E"/>
    <w:rsid w:val="00364953"/>
    <w:rsid w:val="00364F44"/>
    <w:rsid w:val="00366720"/>
    <w:rsid w:val="003710C2"/>
    <w:rsid w:val="0037466C"/>
    <w:rsid w:val="00374A7F"/>
    <w:rsid w:val="00380364"/>
    <w:rsid w:val="003815D1"/>
    <w:rsid w:val="0038175D"/>
    <w:rsid w:val="00381AE4"/>
    <w:rsid w:val="00381C48"/>
    <w:rsid w:val="00386A61"/>
    <w:rsid w:val="00387AD4"/>
    <w:rsid w:val="00391570"/>
    <w:rsid w:val="00391930"/>
    <w:rsid w:val="00391DE2"/>
    <w:rsid w:val="00392153"/>
    <w:rsid w:val="0039289D"/>
    <w:rsid w:val="00392AE9"/>
    <w:rsid w:val="003933E4"/>
    <w:rsid w:val="00395284"/>
    <w:rsid w:val="00395E41"/>
    <w:rsid w:val="003A09AB"/>
    <w:rsid w:val="003A18C5"/>
    <w:rsid w:val="003A19DF"/>
    <w:rsid w:val="003A1A79"/>
    <w:rsid w:val="003A28C1"/>
    <w:rsid w:val="003A2FCF"/>
    <w:rsid w:val="003A311D"/>
    <w:rsid w:val="003A3882"/>
    <w:rsid w:val="003A5436"/>
    <w:rsid w:val="003A6138"/>
    <w:rsid w:val="003A6968"/>
    <w:rsid w:val="003A6C51"/>
    <w:rsid w:val="003B0334"/>
    <w:rsid w:val="003B2956"/>
    <w:rsid w:val="003B2EB0"/>
    <w:rsid w:val="003B4501"/>
    <w:rsid w:val="003B46B7"/>
    <w:rsid w:val="003C00E8"/>
    <w:rsid w:val="003C0A37"/>
    <w:rsid w:val="003C2645"/>
    <w:rsid w:val="003C2866"/>
    <w:rsid w:val="003C47B5"/>
    <w:rsid w:val="003C5B2B"/>
    <w:rsid w:val="003C5B3D"/>
    <w:rsid w:val="003C6459"/>
    <w:rsid w:val="003C792E"/>
    <w:rsid w:val="003D00A6"/>
    <w:rsid w:val="003D1E8D"/>
    <w:rsid w:val="003D21B9"/>
    <w:rsid w:val="003D3031"/>
    <w:rsid w:val="003D3DC1"/>
    <w:rsid w:val="003D52D5"/>
    <w:rsid w:val="003D532F"/>
    <w:rsid w:val="003D5E33"/>
    <w:rsid w:val="003D769D"/>
    <w:rsid w:val="003E0B59"/>
    <w:rsid w:val="003E184D"/>
    <w:rsid w:val="003E32FC"/>
    <w:rsid w:val="003E682B"/>
    <w:rsid w:val="003E7506"/>
    <w:rsid w:val="003E77BE"/>
    <w:rsid w:val="003E77F7"/>
    <w:rsid w:val="003E7C50"/>
    <w:rsid w:val="003E7D8B"/>
    <w:rsid w:val="003F1D34"/>
    <w:rsid w:val="003F22B0"/>
    <w:rsid w:val="003F2436"/>
    <w:rsid w:val="003F3E54"/>
    <w:rsid w:val="003F51E8"/>
    <w:rsid w:val="003F759B"/>
    <w:rsid w:val="00400188"/>
    <w:rsid w:val="00400549"/>
    <w:rsid w:val="0040529E"/>
    <w:rsid w:val="00405B63"/>
    <w:rsid w:val="00407047"/>
    <w:rsid w:val="00407E19"/>
    <w:rsid w:val="00412D9F"/>
    <w:rsid w:val="00412DAE"/>
    <w:rsid w:val="0041396E"/>
    <w:rsid w:val="004146F5"/>
    <w:rsid w:val="00414ECE"/>
    <w:rsid w:val="0041518D"/>
    <w:rsid w:val="00416083"/>
    <w:rsid w:val="00416D89"/>
    <w:rsid w:val="00421A82"/>
    <w:rsid w:val="004222EB"/>
    <w:rsid w:val="004228AB"/>
    <w:rsid w:val="004239B1"/>
    <w:rsid w:val="00424341"/>
    <w:rsid w:val="00426E83"/>
    <w:rsid w:val="00433DC4"/>
    <w:rsid w:val="0043402F"/>
    <w:rsid w:val="00440865"/>
    <w:rsid w:val="00440A25"/>
    <w:rsid w:val="00442415"/>
    <w:rsid w:val="004431CF"/>
    <w:rsid w:val="004447ED"/>
    <w:rsid w:val="00444A77"/>
    <w:rsid w:val="00445032"/>
    <w:rsid w:val="004456F3"/>
    <w:rsid w:val="00446BEA"/>
    <w:rsid w:val="00446C92"/>
    <w:rsid w:val="0045058E"/>
    <w:rsid w:val="004505A9"/>
    <w:rsid w:val="00451A71"/>
    <w:rsid w:val="00451AAD"/>
    <w:rsid w:val="004520A1"/>
    <w:rsid w:val="00452F38"/>
    <w:rsid w:val="00453282"/>
    <w:rsid w:val="004536F8"/>
    <w:rsid w:val="004558E9"/>
    <w:rsid w:val="00455EB6"/>
    <w:rsid w:val="00456C21"/>
    <w:rsid w:val="00457086"/>
    <w:rsid w:val="00460494"/>
    <w:rsid w:val="00463077"/>
    <w:rsid w:val="004637AF"/>
    <w:rsid w:val="00463E66"/>
    <w:rsid w:val="00464DD9"/>
    <w:rsid w:val="00465A04"/>
    <w:rsid w:val="004664DF"/>
    <w:rsid w:val="00466922"/>
    <w:rsid w:val="0046718E"/>
    <w:rsid w:val="00467372"/>
    <w:rsid w:val="00470AD2"/>
    <w:rsid w:val="00470B34"/>
    <w:rsid w:val="004715E3"/>
    <w:rsid w:val="00473A02"/>
    <w:rsid w:val="00474CC7"/>
    <w:rsid w:val="0047634E"/>
    <w:rsid w:val="00477642"/>
    <w:rsid w:val="00481EE6"/>
    <w:rsid w:val="00484BFA"/>
    <w:rsid w:val="00486CE3"/>
    <w:rsid w:val="00490F98"/>
    <w:rsid w:val="0049303C"/>
    <w:rsid w:val="004930F0"/>
    <w:rsid w:val="0049364A"/>
    <w:rsid w:val="00493AA7"/>
    <w:rsid w:val="004957C3"/>
    <w:rsid w:val="00496366"/>
    <w:rsid w:val="00496F40"/>
    <w:rsid w:val="004A0E83"/>
    <w:rsid w:val="004A1686"/>
    <w:rsid w:val="004A16FA"/>
    <w:rsid w:val="004A1C1E"/>
    <w:rsid w:val="004A434F"/>
    <w:rsid w:val="004A4F8E"/>
    <w:rsid w:val="004A54B2"/>
    <w:rsid w:val="004A5BBD"/>
    <w:rsid w:val="004A6C85"/>
    <w:rsid w:val="004B02FC"/>
    <w:rsid w:val="004B1073"/>
    <w:rsid w:val="004B26BA"/>
    <w:rsid w:val="004B26BF"/>
    <w:rsid w:val="004B36BA"/>
    <w:rsid w:val="004B4651"/>
    <w:rsid w:val="004B5C12"/>
    <w:rsid w:val="004B648A"/>
    <w:rsid w:val="004C1741"/>
    <w:rsid w:val="004C1BD6"/>
    <w:rsid w:val="004C2A6C"/>
    <w:rsid w:val="004C54FC"/>
    <w:rsid w:val="004C5528"/>
    <w:rsid w:val="004C5B48"/>
    <w:rsid w:val="004C61A7"/>
    <w:rsid w:val="004C7460"/>
    <w:rsid w:val="004C7621"/>
    <w:rsid w:val="004D0507"/>
    <w:rsid w:val="004D21F2"/>
    <w:rsid w:val="004D2F13"/>
    <w:rsid w:val="004D3A19"/>
    <w:rsid w:val="004D6CF8"/>
    <w:rsid w:val="004D72F1"/>
    <w:rsid w:val="004E5AFC"/>
    <w:rsid w:val="004E7B0A"/>
    <w:rsid w:val="004F026F"/>
    <w:rsid w:val="004F0D51"/>
    <w:rsid w:val="004F12F2"/>
    <w:rsid w:val="004F488F"/>
    <w:rsid w:val="004F4A4E"/>
    <w:rsid w:val="004F543A"/>
    <w:rsid w:val="004F6EB5"/>
    <w:rsid w:val="004F7242"/>
    <w:rsid w:val="004F7259"/>
    <w:rsid w:val="004F78B8"/>
    <w:rsid w:val="004F7F8D"/>
    <w:rsid w:val="005000FA"/>
    <w:rsid w:val="005002F1"/>
    <w:rsid w:val="005103EE"/>
    <w:rsid w:val="0051162A"/>
    <w:rsid w:val="00512A25"/>
    <w:rsid w:val="00513EC9"/>
    <w:rsid w:val="0051402B"/>
    <w:rsid w:val="005155E4"/>
    <w:rsid w:val="00516188"/>
    <w:rsid w:val="00517818"/>
    <w:rsid w:val="00520BC3"/>
    <w:rsid w:val="00521982"/>
    <w:rsid w:val="00521D2F"/>
    <w:rsid w:val="00521DF1"/>
    <w:rsid w:val="0052321A"/>
    <w:rsid w:val="00524574"/>
    <w:rsid w:val="00525AFC"/>
    <w:rsid w:val="0053021A"/>
    <w:rsid w:val="00531817"/>
    <w:rsid w:val="00531DB7"/>
    <w:rsid w:val="0053553F"/>
    <w:rsid w:val="00535AB5"/>
    <w:rsid w:val="00536D36"/>
    <w:rsid w:val="00537089"/>
    <w:rsid w:val="00541444"/>
    <w:rsid w:val="005424EB"/>
    <w:rsid w:val="00542EA8"/>
    <w:rsid w:val="005436C4"/>
    <w:rsid w:val="00545A21"/>
    <w:rsid w:val="00546EEB"/>
    <w:rsid w:val="00547B6B"/>
    <w:rsid w:val="00551B07"/>
    <w:rsid w:val="00553C3A"/>
    <w:rsid w:val="00554926"/>
    <w:rsid w:val="0055521F"/>
    <w:rsid w:val="005605A3"/>
    <w:rsid w:val="00560D38"/>
    <w:rsid w:val="005640B6"/>
    <w:rsid w:val="005650F5"/>
    <w:rsid w:val="00566DC3"/>
    <w:rsid w:val="005711B1"/>
    <w:rsid w:val="00571AFD"/>
    <w:rsid w:val="005721B6"/>
    <w:rsid w:val="00572896"/>
    <w:rsid w:val="0057398E"/>
    <w:rsid w:val="005762C9"/>
    <w:rsid w:val="005800A2"/>
    <w:rsid w:val="005813ED"/>
    <w:rsid w:val="00583EE4"/>
    <w:rsid w:val="00584821"/>
    <w:rsid w:val="005848E4"/>
    <w:rsid w:val="00585174"/>
    <w:rsid w:val="00585D47"/>
    <w:rsid w:val="0058766E"/>
    <w:rsid w:val="005902EB"/>
    <w:rsid w:val="00590336"/>
    <w:rsid w:val="00590700"/>
    <w:rsid w:val="00590E11"/>
    <w:rsid w:val="005927B5"/>
    <w:rsid w:val="00594B9D"/>
    <w:rsid w:val="00595D70"/>
    <w:rsid w:val="00596327"/>
    <w:rsid w:val="00596C97"/>
    <w:rsid w:val="00596E18"/>
    <w:rsid w:val="005A151F"/>
    <w:rsid w:val="005A303E"/>
    <w:rsid w:val="005A3459"/>
    <w:rsid w:val="005A3560"/>
    <w:rsid w:val="005A370B"/>
    <w:rsid w:val="005A3C46"/>
    <w:rsid w:val="005A4213"/>
    <w:rsid w:val="005A64E2"/>
    <w:rsid w:val="005A7738"/>
    <w:rsid w:val="005B06F4"/>
    <w:rsid w:val="005B1509"/>
    <w:rsid w:val="005B1592"/>
    <w:rsid w:val="005B1D7A"/>
    <w:rsid w:val="005B262F"/>
    <w:rsid w:val="005B53CA"/>
    <w:rsid w:val="005B5968"/>
    <w:rsid w:val="005B5FEC"/>
    <w:rsid w:val="005B6804"/>
    <w:rsid w:val="005B6F74"/>
    <w:rsid w:val="005B7089"/>
    <w:rsid w:val="005C1A36"/>
    <w:rsid w:val="005C427C"/>
    <w:rsid w:val="005C4951"/>
    <w:rsid w:val="005C53D6"/>
    <w:rsid w:val="005C5D40"/>
    <w:rsid w:val="005C651D"/>
    <w:rsid w:val="005C6A67"/>
    <w:rsid w:val="005C6B4E"/>
    <w:rsid w:val="005C6D09"/>
    <w:rsid w:val="005D0650"/>
    <w:rsid w:val="005D353A"/>
    <w:rsid w:val="005D4197"/>
    <w:rsid w:val="005D41A2"/>
    <w:rsid w:val="005D6841"/>
    <w:rsid w:val="005D6B87"/>
    <w:rsid w:val="005D73FF"/>
    <w:rsid w:val="005E0071"/>
    <w:rsid w:val="005E1E90"/>
    <w:rsid w:val="005E2EED"/>
    <w:rsid w:val="005E3068"/>
    <w:rsid w:val="005E393D"/>
    <w:rsid w:val="005E3D99"/>
    <w:rsid w:val="005E45DD"/>
    <w:rsid w:val="005E503D"/>
    <w:rsid w:val="005E5213"/>
    <w:rsid w:val="005F109F"/>
    <w:rsid w:val="005F2D86"/>
    <w:rsid w:val="005F5E30"/>
    <w:rsid w:val="005F725F"/>
    <w:rsid w:val="005F76C4"/>
    <w:rsid w:val="006004CD"/>
    <w:rsid w:val="00601C1D"/>
    <w:rsid w:val="00601F62"/>
    <w:rsid w:val="006022A8"/>
    <w:rsid w:val="00602936"/>
    <w:rsid w:val="00603FD7"/>
    <w:rsid w:val="00605019"/>
    <w:rsid w:val="0060523D"/>
    <w:rsid w:val="006101DB"/>
    <w:rsid w:val="006107B7"/>
    <w:rsid w:val="00611D0E"/>
    <w:rsid w:val="0061259E"/>
    <w:rsid w:val="00612B27"/>
    <w:rsid w:val="0061537E"/>
    <w:rsid w:val="006173B9"/>
    <w:rsid w:val="006208C4"/>
    <w:rsid w:val="00622DE7"/>
    <w:rsid w:val="006241F2"/>
    <w:rsid w:val="006277FD"/>
    <w:rsid w:val="00631013"/>
    <w:rsid w:val="00634D4D"/>
    <w:rsid w:val="00634E5C"/>
    <w:rsid w:val="00640764"/>
    <w:rsid w:val="00641F24"/>
    <w:rsid w:val="006425D5"/>
    <w:rsid w:val="00642C55"/>
    <w:rsid w:val="00643C54"/>
    <w:rsid w:val="00643FDD"/>
    <w:rsid w:val="00644188"/>
    <w:rsid w:val="00645B65"/>
    <w:rsid w:val="006478CF"/>
    <w:rsid w:val="00647EF0"/>
    <w:rsid w:val="006508A7"/>
    <w:rsid w:val="0065096B"/>
    <w:rsid w:val="00651248"/>
    <w:rsid w:val="00653888"/>
    <w:rsid w:val="00654D88"/>
    <w:rsid w:val="00654E5A"/>
    <w:rsid w:val="00654FE0"/>
    <w:rsid w:val="00655FA1"/>
    <w:rsid w:val="006578D5"/>
    <w:rsid w:val="006602D2"/>
    <w:rsid w:val="00661637"/>
    <w:rsid w:val="0066327E"/>
    <w:rsid w:val="00665266"/>
    <w:rsid w:val="006660B4"/>
    <w:rsid w:val="006707E7"/>
    <w:rsid w:val="00671B73"/>
    <w:rsid w:val="0067334D"/>
    <w:rsid w:val="0067601D"/>
    <w:rsid w:val="00676EB4"/>
    <w:rsid w:val="006773D9"/>
    <w:rsid w:val="00680354"/>
    <w:rsid w:val="00680ECA"/>
    <w:rsid w:val="00680F5B"/>
    <w:rsid w:val="00681219"/>
    <w:rsid w:val="00682BF1"/>
    <w:rsid w:val="006858A4"/>
    <w:rsid w:val="00686048"/>
    <w:rsid w:val="006869AF"/>
    <w:rsid w:val="00686CF9"/>
    <w:rsid w:val="006900B0"/>
    <w:rsid w:val="00690900"/>
    <w:rsid w:val="006909C6"/>
    <w:rsid w:val="00690E86"/>
    <w:rsid w:val="0069153A"/>
    <w:rsid w:val="006937E9"/>
    <w:rsid w:val="0069445B"/>
    <w:rsid w:val="00694594"/>
    <w:rsid w:val="00694CD4"/>
    <w:rsid w:val="006971F8"/>
    <w:rsid w:val="006A14C5"/>
    <w:rsid w:val="006A1E84"/>
    <w:rsid w:val="006A340E"/>
    <w:rsid w:val="006A534D"/>
    <w:rsid w:val="006A5D4C"/>
    <w:rsid w:val="006B0942"/>
    <w:rsid w:val="006B17CC"/>
    <w:rsid w:val="006B44E4"/>
    <w:rsid w:val="006B6A47"/>
    <w:rsid w:val="006B77E3"/>
    <w:rsid w:val="006C06E1"/>
    <w:rsid w:val="006C36E8"/>
    <w:rsid w:val="006C4330"/>
    <w:rsid w:val="006C4422"/>
    <w:rsid w:val="006C455F"/>
    <w:rsid w:val="006C56D3"/>
    <w:rsid w:val="006C625D"/>
    <w:rsid w:val="006C7AC7"/>
    <w:rsid w:val="006C7F2D"/>
    <w:rsid w:val="006D155E"/>
    <w:rsid w:val="006D192D"/>
    <w:rsid w:val="006D1F34"/>
    <w:rsid w:val="006D3444"/>
    <w:rsid w:val="006D4ACE"/>
    <w:rsid w:val="006D52D6"/>
    <w:rsid w:val="006D55EB"/>
    <w:rsid w:val="006D5FE6"/>
    <w:rsid w:val="006E0D21"/>
    <w:rsid w:val="006E1F18"/>
    <w:rsid w:val="006E3660"/>
    <w:rsid w:val="006E6EEE"/>
    <w:rsid w:val="006F0F98"/>
    <w:rsid w:val="006F1EAE"/>
    <w:rsid w:val="006F2259"/>
    <w:rsid w:val="006F5375"/>
    <w:rsid w:val="006F5854"/>
    <w:rsid w:val="006F75A5"/>
    <w:rsid w:val="00701924"/>
    <w:rsid w:val="00701B06"/>
    <w:rsid w:val="00701D00"/>
    <w:rsid w:val="007035BF"/>
    <w:rsid w:val="00704738"/>
    <w:rsid w:val="0070539A"/>
    <w:rsid w:val="00705511"/>
    <w:rsid w:val="00705676"/>
    <w:rsid w:val="00706C94"/>
    <w:rsid w:val="00707A9A"/>
    <w:rsid w:val="007104E5"/>
    <w:rsid w:val="0071069D"/>
    <w:rsid w:val="0071103C"/>
    <w:rsid w:val="007115BA"/>
    <w:rsid w:val="007116A3"/>
    <w:rsid w:val="00715909"/>
    <w:rsid w:val="00716FF1"/>
    <w:rsid w:val="0071714C"/>
    <w:rsid w:val="007171A6"/>
    <w:rsid w:val="00717EB2"/>
    <w:rsid w:val="0072061D"/>
    <w:rsid w:val="007209F3"/>
    <w:rsid w:val="00721AB7"/>
    <w:rsid w:val="00721DE7"/>
    <w:rsid w:val="00723879"/>
    <w:rsid w:val="007254EB"/>
    <w:rsid w:val="007263AA"/>
    <w:rsid w:val="00726C66"/>
    <w:rsid w:val="00731BA7"/>
    <w:rsid w:val="00731C7F"/>
    <w:rsid w:val="00731F96"/>
    <w:rsid w:val="007324F8"/>
    <w:rsid w:val="00734CCE"/>
    <w:rsid w:val="00736E54"/>
    <w:rsid w:val="00737651"/>
    <w:rsid w:val="0074091A"/>
    <w:rsid w:val="00741A88"/>
    <w:rsid w:val="007443B9"/>
    <w:rsid w:val="00744B5C"/>
    <w:rsid w:val="00744F99"/>
    <w:rsid w:val="00745095"/>
    <w:rsid w:val="00745167"/>
    <w:rsid w:val="00745DDC"/>
    <w:rsid w:val="00752654"/>
    <w:rsid w:val="007543D6"/>
    <w:rsid w:val="00754C0D"/>
    <w:rsid w:val="00755915"/>
    <w:rsid w:val="007559AA"/>
    <w:rsid w:val="00755B85"/>
    <w:rsid w:val="00755DC9"/>
    <w:rsid w:val="007603BE"/>
    <w:rsid w:val="00761792"/>
    <w:rsid w:val="007621B1"/>
    <w:rsid w:val="0076276A"/>
    <w:rsid w:val="00763B87"/>
    <w:rsid w:val="00767B3A"/>
    <w:rsid w:val="00772654"/>
    <w:rsid w:val="00773475"/>
    <w:rsid w:val="00775B2F"/>
    <w:rsid w:val="00780C14"/>
    <w:rsid w:val="00780FE9"/>
    <w:rsid w:val="00781BC6"/>
    <w:rsid w:val="007839AD"/>
    <w:rsid w:val="00784D90"/>
    <w:rsid w:val="007850F8"/>
    <w:rsid w:val="0078527D"/>
    <w:rsid w:val="00786898"/>
    <w:rsid w:val="007876D9"/>
    <w:rsid w:val="007907BF"/>
    <w:rsid w:val="0079229E"/>
    <w:rsid w:val="00792CFE"/>
    <w:rsid w:val="00793387"/>
    <w:rsid w:val="0079546E"/>
    <w:rsid w:val="00795716"/>
    <w:rsid w:val="00796649"/>
    <w:rsid w:val="00796709"/>
    <w:rsid w:val="0079672D"/>
    <w:rsid w:val="00796BCF"/>
    <w:rsid w:val="007A08E5"/>
    <w:rsid w:val="007A096E"/>
    <w:rsid w:val="007A13F3"/>
    <w:rsid w:val="007A18E2"/>
    <w:rsid w:val="007A2943"/>
    <w:rsid w:val="007A37FE"/>
    <w:rsid w:val="007A3EFC"/>
    <w:rsid w:val="007A4544"/>
    <w:rsid w:val="007A53DA"/>
    <w:rsid w:val="007A5DA1"/>
    <w:rsid w:val="007A7157"/>
    <w:rsid w:val="007B1DA9"/>
    <w:rsid w:val="007B283E"/>
    <w:rsid w:val="007B339E"/>
    <w:rsid w:val="007B348B"/>
    <w:rsid w:val="007B42C1"/>
    <w:rsid w:val="007B51CA"/>
    <w:rsid w:val="007B543B"/>
    <w:rsid w:val="007B7116"/>
    <w:rsid w:val="007B7221"/>
    <w:rsid w:val="007B79C3"/>
    <w:rsid w:val="007B7A99"/>
    <w:rsid w:val="007C09BB"/>
    <w:rsid w:val="007C130F"/>
    <w:rsid w:val="007C255D"/>
    <w:rsid w:val="007C2ECF"/>
    <w:rsid w:val="007C44E4"/>
    <w:rsid w:val="007C6F0F"/>
    <w:rsid w:val="007D1254"/>
    <w:rsid w:val="007D1B23"/>
    <w:rsid w:val="007D38D2"/>
    <w:rsid w:val="007D48A6"/>
    <w:rsid w:val="007D72AF"/>
    <w:rsid w:val="007D759E"/>
    <w:rsid w:val="007E0030"/>
    <w:rsid w:val="007E02F8"/>
    <w:rsid w:val="007E0C95"/>
    <w:rsid w:val="007E1924"/>
    <w:rsid w:val="007E1B3C"/>
    <w:rsid w:val="007E21A2"/>
    <w:rsid w:val="007E2C20"/>
    <w:rsid w:val="007E2C2E"/>
    <w:rsid w:val="007E3DF4"/>
    <w:rsid w:val="007E45F0"/>
    <w:rsid w:val="007E4A19"/>
    <w:rsid w:val="007E4B59"/>
    <w:rsid w:val="007E4F0D"/>
    <w:rsid w:val="007E5A45"/>
    <w:rsid w:val="007E6C35"/>
    <w:rsid w:val="007E7610"/>
    <w:rsid w:val="007F03DC"/>
    <w:rsid w:val="007F1985"/>
    <w:rsid w:val="007F29C4"/>
    <w:rsid w:val="007F7356"/>
    <w:rsid w:val="007F7C58"/>
    <w:rsid w:val="00801177"/>
    <w:rsid w:val="00801B48"/>
    <w:rsid w:val="0080253C"/>
    <w:rsid w:val="008033E5"/>
    <w:rsid w:val="008034E8"/>
    <w:rsid w:val="00804D41"/>
    <w:rsid w:val="00807450"/>
    <w:rsid w:val="0080770E"/>
    <w:rsid w:val="00807800"/>
    <w:rsid w:val="00810C56"/>
    <w:rsid w:val="00811A48"/>
    <w:rsid w:val="008122FE"/>
    <w:rsid w:val="00813B1E"/>
    <w:rsid w:val="008145C5"/>
    <w:rsid w:val="00815A75"/>
    <w:rsid w:val="0081652E"/>
    <w:rsid w:val="00816913"/>
    <w:rsid w:val="00820269"/>
    <w:rsid w:val="00820A54"/>
    <w:rsid w:val="00821282"/>
    <w:rsid w:val="00822015"/>
    <w:rsid w:val="008220DA"/>
    <w:rsid w:val="00826400"/>
    <w:rsid w:val="00826CB5"/>
    <w:rsid w:val="00831FDF"/>
    <w:rsid w:val="008331A7"/>
    <w:rsid w:val="00833BA4"/>
    <w:rsid w:val="00834FB2"/>
    <w:rsid w:val="0083503F"/>
    <w:rsid w:val="00837B4A"/>
    <w:rsid w:val="008402E4"/>
    <w:rsid w:val="008432A8"/>
    <w:rsid w:val="00845BF5"/>
    <w:rsid w:val="008475F9"/>
    <w:rsid w:val="00847793"/>
    <w:rsid w:val="00847AE1"/>
    <w:rsid w:val="00850D27"/>
    <w:rsid w:val="00851B24"/>
    <w:rsid w:val="0085291C"/>
    <w:rsid w:val="00852D2F"/>
    <w:rsid w:val="008546C3"/>
    <w:rsid w:val="00855959"/>
    <w:rsid w:val="00855A41"/>
    <w:rsid w:val="00856E61"/>
    <w:rsid w:val="00856FA4"/>
    <w:rsid w:val="00860C3A"/>
    <w:rsid w:val="00861424"/>
    <w:rsid w:val="008630C9"/>
    <w:rsid w:val="00863376"/>
    <w:rsid w:val="0086476F"/>
    <w:rsid w:val="00864D6E"/>
    <w:rsid w:val="00867E7C"/>
    <w:rsid w:val="0087028B"/>
    <w:rsid w:val="00873C15"/>
    <w:rsid w:val="00874E03"/>
    <w:rsid w:val="00877245"/>
    <w:rsid w:val="00880EF0"/>
    <w:rsid w:val="00881A5D"/>
    <w:rsid w:val="00882282"/>
    <w:rsid w:val="008839F9"/>
    <w:rsid w:val="0088558F"/>
    <w:rsid w:val="0089221C"/>
    <w:rsid w:val="0089390A"/>
    <w:rsid w:val="008A07C9"/>
    <w:rsid w:val="008A34BE"/>
    <w:rsid w:val="008A3AC4"/>
    <w:rsid w:val="008A4538"/>
    <w:rsid w:val="008A5154"/>
    <w:rsid w:val="008B1952"/>
    <w:rsid w:val="008B1D7B"/>
    <w:rsid w:val="008B2DE2"/>
    <w:rsid w:val="008B3E74"/>
    <w:rsid w:val="008B46C3"/>
    <w:rsid w:val="008B5684"/>
    <w:rsid w:val="008B6B95"/>
    <w:rsid w:val="008C1B91"/>
    <w:rsid w:val="008C22F3"/>
    <w:rsid w:val="008C2D42"/>
    <w:rsid w:val="008C49E6"/>
    <w:rsid w:val="008C6659"/>
    <w:rsid w:val="008C756C"/>
    <w:rsid w:val="008D0B72"/>
    <w:rsid w:val="008D103A"/>
    <w:rsid w:val="008D18DB"/>
    <w:rsid w:val="008D1B8B"/>
    <w:rsid w:val="008D3BFB"/>
    <w:rsid w:val="008D3E38"/>
    <w:rsid w:val="008D68EF"/>
    <w:rsid w:val="008E011C"/>
    <w:rsid w:val="008E018D"/>
    <w:rsid w:val="008E09D1"/>
    <w:rsid w:val="008E145D"/>
    <w:rsid w:val="008E1618"/>
    <w:rsid w:val="008E18BE"/>
    <w:rsid w:val="008E1E93"/>
    <w:rsid w:val="008E356D"/>
    <w:rsid w:val="008E3EE2"/>
    <w:rsid w:val="008E40A4"/>
    <w:rsid w:val="008E4991"/>
    <w:rsid w:val="008E4ABE"/>
    <w:rsid w:val="008E4C88"/>
    <w:rsid w:val="008E603F"/>
    <w:rsid w:val="008E7527"/>
    <w:rsid w:val="008F0FF9"/>
    <w:rsid w:val="008F3361"/>
    <w:rsid w:val="008F36F1"/>
    <w:rsid w:val="008F7D73"/>
    <w:rsid w:val="0090308A"/>
    <w:rsid w:val="00903ADA"/>
    <w:rsid w:val="009048FE"/>
    <w:rsid w:val="009064B6"/>
    <w:rsid w:val="009076E7"/>
    <w:rsid w:val="00910880"/>
    <w:rsid w:val="00913C68"/>
    <w:rsid w:val="0091490A"/>
    <w:rsid w:val="009158AB"/>
    <w:rsid w:val="00917B2A"/>
    <w:rsid w:val="00920CB4"/>
    <w:rsid w:val="00922159"/>
    <w:rsid w:val="009227EB"/>
    <w:rsid w:val="0092419A"/>
    <w:rsid w:val="009253D2"/>
    <w:rsid w:val="00930C9C"/>
    <w:rsid w:val="0093138F"/>
    <w:rsid w:val="00932DAA"/>
    <w:rsid w:val="009331FF"/>
    <w:rsid w:val="00933271"/>
    <w:rsid w:val="00934F8F"/>
    <w:rsid w:val="0093548F"/>
    <w:rsid w:val="009357A6"/>
    <w:rsid w:val="00940A04"/>
    <w:rsid w:val="00945A43"/>
    <w:rsid w:val="009466F5"/>
    <w:rsid w:val="0094742E"/>
    <w:rsid w:val="009475BF"/>
    <w:rsid w:val="009508B1"/>
    <w:rsid w:val="00950D97"/>
    <w:rsid w:val="00951132"/>
    <w:rsid w:val="00952147"/>
    <w:rsid w:val="009548A0"/>
    <w:rsid w:val="00960AC2"/>
    <w:rsid w:val="009632C1"/>
    <w:rsid w:val="00963FFA"/>
    <w:rsid w:val="00964C4F"/>
    <w:rsid w:val="00964FDA"/>
    <w:rsid w:val="0096518D"/>
    <w:rsid w:val="009653DB"/>
    <w:rsid w:val="009668C4"/>
    <w:rsid w:val="009704CD"/>
    <w:rsid w:val="00971F91"/>
    <w:rsid w:val="00972D1A"/>
    <w:rsid w:val="00972F42"/>
    <w:rsid w:val="009761DA"/>
    <w:rsid w:val="009827E4"/>
    <w:rsid w:val="00984BB3"/>
    <w:rsid w:val="0098511B"/>
    <w:rsid w:val="009853C3"/>
    <w:rsid w:val="009856C8"/>
    <w:rsid w:val="00985A39"/>
    <w:rsid w:val="0098746B"/>
    <w:rsid w:val="009876ED"/>
    <w:rsid w:val="00991CFC"/>
    <w:rsid w:val="009921C2"/>
    <w:rsid w:val="009927EF"/>
    <w:rsid w:val="009935FB"/>
    <w:rsid w:val="0099363F"/>
    <w:rsid w:val="0099408F"/>
    <w:rsid w:val="00994D2A"/>
    <w:rsid w:val="00995B49"/>
    <w:rsid w:val="00995C8B"/>
    <w:rsid w:val="009A258C"/>
    <w:rsid w:val="009A2770"/>
    <w:rsid w:val="009A28E8"/>
    <w:rsid w:val="009A6381"/>
    <w:rsid w:val="009B3457"/>
    <w:rsid w:val="009B3FCA"/>
    <w:rsid w:val="009B471F"/>
    <w:rsid w:val="009B652A"/>
    <w:rsid w:val="009B7051"/>
    <w:rsid w:val="009C2732"/>
    <w:rsid w:val="009C4D6A"/>
    <w:rsid w:val="009C6012"/>
    <w:rsid w:val="009D0C14"/>
    <w:rsid w:val="009D1866"/>
    <w:rsid w:val="009D18CF"/>
    <w:rsid w:val="009D264D"/>
    <w:rsid w:val="009D41B5"/>
    <w:rsid w:val="009D57DD"/>
    <w:rsid w:val="009D73E6"/>
    <w:rsid w:val="009D7B0C"/>
    <w:rsid w:val="009E251D"/>
    <w:rsid w:val="009E2793"/>
    <w:rsid w:val="009E29E6"/>
    <w:rsid w:val="009E335E"/>
    <w:rsid w:val="009E7D67"/>
    <w:rsid w:val="009F36D9"/>
    <w:rsid w:val="009F3E1A"/>
    <w:rsid w:val="009F47D4"/>
    <w:rsid w:val="009F4EF8"/>
    <w:rsid w:val="009F59E7"/>
    <w:rsid w:val="009F6B1E"/>
    <w:rsid w:val="00A01D34"/>
    <w:rsid w:val="00A0210C"/>
    <w:rsid w:val="00A03524"/>
    <w:rsid w:val="00A048B9"/>
    <w:rsid w:val="00A05657"/>
    <w:rsid w:val="00A10293"/>
    <w:rsid w:val="00A11579"/>
    <w:rsid w:val="00A11663"/>
    <w:rsid w:val="00A11942"/>
    <w:rsid w:val="00A149FB"/>
    <w:rsid w:val="00A14A12"/>
    <w:rsid w:val="00A1655F"/>
    <w:rsid w:val="00A1664C"/>
    <w:rsid w:val="00A1681B"/>
    <w:rsid w:val="00A16CC7"/>
    <w:rsid w:val="00A17EE0"/>
    <w:rsid w:val="00A2066C"/>
    <w:rsid w:val="00A20A09"/>
    <w:rsid w:val="00A21445"/>
    <w:rsid w:val="00A21C40"/>
    <w:rsid w:val="00A24B1B"/>
    <w:rsid w:val="00A329BB"/>
    <w:rsid w:val="00A33E00"/>
    <w:rsid w:val="00A34EEE"/>
    <w:rsid w:val="00A359DD"/>
    <w:rsid w:val="00A3744C"/>
    <w:rsid w:val="00A40018"/>
    <w:rsid w:val="00A41870"/>
    <w:rsid w:val="00A4252B"/>
    <w:rsid w:val="00A44EB8"/>
    <w:rsid w:val="00A46B8F"/>
    <w:rsid w:val="00A47A3C"/>
    <w:rsid w:val="00A5084C"/>
    <w:rsid w:val="00A5107F"/>
    <w:rsid w:val="00A519A9"/>
    <w:rsid w:val="00A525F8"/>
    <w:rsid w:val="00A527BC"/>
    <w:rsid w:val="00A52F83"/>
    <w:rsid w:val="00A5543B"/>
    <w:rsid w:val="00A559C4"/>
    <w:rsid w:val="00A559E2"/>
    <w:rsid w:val="00A6098B"/>
    <w:rsid w:val="00A616BA"/>
    <w:rsid w:val="00A61C9E"/>
    <w:rsid w:val="00A62294"/>
    <w:rsid w:val="00A638E2"/>
    <w:rsid w:val="00A64459"/>
    <w:rsid w:val="00A67915"/>
    <w:rsid w:val="00A70E89"/>
    <w:rsid w:val="00A7144A"/>
    <w:rsid w:val="00A72577"/>
    <w:rsid w:val="00A725AB"/>
    <w:rsid w:val="00A72B19"/>
    <w:rsid w:val="00A73211"/>
    <w:rsid w:val="00A7491C"/>
    <w:rsid w:val="00A76320"/>
    <w:rsid w:val="00A77DA7"/>
    <w:rsid w:val="00A77F3A"/>
    <w:rsid w:val="00A8288E"/>
    <w:rsid w:val="00A833B2"/>
    <w:rsid w:val="00A849CB"/>
    <w:rsid w:val="00A85026"/>
    <w:rsid w:val="00A85152"/>
    <w:rsid w:val="00A87085"/>
    <w:rsid w:val="00A909FD"/>
    <w:rsid w:val="00A91831"/>
    <w:rsid w:val="00A9270F"/>
    <w:rsid w:val="00A92A52"/>
    <w:rsid w:val="00A93998"/>
    <w:rsid w:val="00A946A8"/>
    <w:rsid w:val="00A9481E"/>
    <w:rsid w:val="00A94868"/>
    <w:rsid w:val="00A94ADD"/>
    <w:rsid w:val="00A94B82"/>
    <w:rsid w:val="00A9554D"/>
    <w:rsid w:val="00AA26DA"/>
    <w:rsid w:val="00AA35B9"/>
    <w:rsid w:val="00AA4DBD"/>
    <w:rsid w:val="00AB0901"/>
    <w:rsid w:val="00AB0D14"/>
    <w:rsid w:val="00AB2776"/>
    <w:rsid w:val="00AB365A"/>
    <w:rsid w:val="00AB48C1"/>
    <w:rsid w:val="00AB4E54"/>
    <w:rsid w:val="00AC195B"/>
    <w:rsid w:val="00AC2CA2"/>
    <w:rsid w:val="00AC3C2D"/>
    <w:rsid w:val="00AC6687"/>
    <w:rsid w:val="00AC7CB9"/>
    <w:rsid w:val="00AD4C5A"/>
    <w:rsid w:val="00AD5594"/>
    <w:rsid w:val="00AD5E49"/>
    <w:rsid w:val="00AE0C33"/>
    <w:rsid w:val="00AE159D"/>
    <w:rsid w:val="00AE171D"/>
    <w:rsid w:val="00AE1E36"/>
    <w:rsid w:val="00AE1FBE"/>
    <w:rsid w:val="00AE25E8"/>
    <w:rsid w:val="00AE2E1F"/>
    <w:rsid w:val="00AE6048"/>
    <w:rsid w:val="00AE77F5"/>
    <w:rsid w:val="00AE7F97"/>
    <w:rsid w:val="00AF1034"/>
    <w:rsid w:val="00AF2870"/>
    <w:rsid w:val="00AF639A"/>
    <w:rsid w:val="00AF6EF0"/>
    <w:rsid w:val="00AF6F16"/>
    <w:rsid w:val="00AF701F"/>
    <w:rsid w:val="00AF7C0D"/>
    <w:rsid w:val="00B00070"/>
    <w:rsid w:val="00B0116F"/>
    <w:rsid w:val="00B0242D"/>
    <w:rsid w:val="00B02E31"/>
    <w:rsid w:val="00B05508"/>
    <w:rsid w:val="00B05EC4"/>
    <w:rsid w:val="00B11D81"/>
    <w:rsid w:val="00B144AC"/>
    <w:rsid w:val="00B14787"/>
    <w:rsid w:val="00B16272"/>
    <w:rsid w:val="00B17D3D"/>
    <w:rsid w:val="00B21AB5"/>
    <w:rsid w:val="00B2337B"/>
    <w:rsid w:val="00B2488E"/>
    <w:rsid w:val="00B25B71"/>
    <w:rsid w:val="00B27902"/>
    <w:rsid w:val="00B27909"/>
    <w:rsid w:val="00B30C31"/>
    <w:rsid w:val="00B33FAF"/>
    <w:rsid w:val="00B34B36"/>
    <w:rsid w:val="00B371A5"/>
    <w:rsid w:val="00B371B1"/>
    <w:rsid w:val="00B37476"/>
    <w:rsid w:val="00B40205"/>
    <w:rsid w:val="00B40B81"/>
    <w:rsid w:val="00B42940"/>
    <w:rsid w:val="00B459A7"/>
    <w:rsid w:val="00B46A25"/>
    <w:rsid w:val="00B46FCB"/>
    <w:rsid w:val="00B47307"/>
    <w:rsid w:val="00B50B3D"/>
    <w:rsid w:val="00B5236E"/>
    <w:rsid w:val="00B54F87"/>
    <w:rsid w:val="00B552DB"/>
    <w:rsid w:val="00B5640A"/>
    <w:rsid w:val="00B607BA"/>
    <w:rsid w:val="00B621C4"/>
    <w:rsid w:val="00B62515"/>
    <w:rsid w:val="00B63170"/>
    <w:rsid w:val="00B63583"/>
    <w:rsid w:val="00B66937"/>
    <w:rsid w:val="00B707E8"/>
    <w:rsid w:val="00B70881"/>
    <w:rsid w:val="00B70B6E"/>
    <w:rsid w:val="00B7659E"/>
    <w:rsid w:val="00B76797"/>
    <w:rsid w:val="00B76BE1"/>
    <w:rsid w:val="00B772E4"/>
    <w:rsid w:val="00B80B5B"/>
    <w:rsid w:val="00B81C6A"/>
    <w:rsid w:val="00B84D52"/>
    <w:rsid w:val="00B84E6F"/>
    <w:rsid w:val="00B856A0"/>
    <w:rsid w:val="00B85B5B"/>
    <w:rsid w:val="00B8673A"/>
    <w:rsid w:val="00B867BE"/>
    <w:rsid w:val="00B86972"/>
    <w:rsid w:val="00B86FA7"/>
    <w:rsid w:val="00B87C43"/>
    <w:rsid w:val="00B91474"/>
    <w:rsid w:val="00B917FC"/>
    <w:rsid w:val="00B92411"/>
    <w:rsid w:val="00BA1026"/>
    <w:rsid w:val="00BA16B6"/>
    <w:rsid w:val="00BA1CD7"/>
    <w:rsid w:val="00BA1DF3"/>
    <w:rsid w:val="00BA257E"/>
    <w:rsid w:val="00BA283B"/>
    <w:rsid w:val="00BA3219"/>
    <w:rsid w:val="00BA3A59"/>
    <w:rsid w:val="00BA3A64"/>
    <w:rsid w:val="00BA4CAB"/>
    <w:rsid w:val="00BA5FA8"/>
    <w:rsid w:val="00BA64EE"/>
    <w:rsid w:val="00BA6840"/>
    <w:rsid w:val="00BB1EA0"/>
    <w:rsid w:val="00BB2139"/>
    <w:rsid w:val="00BB24A0"/>
    <w:rsid w:val="00BB43B3"/>
    <w:rsid w:val="00BB4AB1"/>
    <w:rsid w:val="00BB720F"/>
    <w:rsid w:val="00BC084D"/>
    <w:rsid w:val="00BC12F6"/>
    <w:rsid w:val="00BC3918"/>
    <w:rsid w:val="00BC4705"/>
    <w:rsid w:val="00BC4B73"/>
    <w:rsid w:val="00BC545A"/>
    <w:rsid w:val="00BC7455"/>
    <w:rsid w:val="00BD23C2"/>
    <w:rsid w:val="00BD2EA7"/>
    <w:rsid w:val="00BD46D0"/>
    <w:rsid w:val="00BD4F10"/>
    <w:rsid w:val="00BD5DBE"/>
    <w:rsid w:val="00BE1ADC"/>
    <w:rsid w:val="00BE3E66"/>
    <w:rsid w:val="00BE7E34"/>
    <w:rsid w:val="00BF02F3"/>
    <w:rsid w:val="00BF302C"/>
    <w:rsid w:val="00BF3871"/>
    <w:rsid w:val="00BF479F"/>
    <w:rsid w:val="00BF6727"/>
    <w:rsid w:val="00C0098D"/>
    <w:rsid w:val="00C02BBE"/>
    <w:rsid w:val="00C02CA0"/>
    <w:rsid w:val="00C03508"/>
    <w:rsid w:val="00C04F09"/>
    <w:rsid w:val="00C054BC"/>
    <w:rsid w:val="00C055E7"/>
    <w:rsid w:val="00C05B8D"/>
    <w:rsid w:val="00C12C70"/>
    <w:rsid w:val="00C13350"/>
    <w:rsid w:val="00C16019"/>
    <w:rsid w:val="00C162C7"/>
    <w:rsid w:val="00C16B0B"/>
    <w:rsid w:val="00C20128"/>
    <w:rsid w:val="00C22AC2"/>
    <w:rsid w:val="00C23FEC"/>
    <w:rsid w:val="00C26961"/>
    <w:rsid w:val="00C26B39"/>
    <w:rsid w:val="00C278BB"/>
    <w:rsid w:val="00C27A6A"/>
    <w:rsid w:val="00C27B5A"/>
    <w:rsid w:val="00C31284"/>
    <w:rsid w:val="00C32827"/>
    <w:rsid w:val="00C32EBE"/>
    <w:rsid w:val="00C332D4"/>
    <w:rsid w:val="00C334EB"/>
    <w:rsid w:val="00C335DD"/>
    <w:rsid w:val="00C341AB"/>
    <w:rsid w:val="00C36350"/>
    <w:rsid w:val="00C37A99"/>
    <w:rsid w:val="00C40319"/>
    <w:rsid w:val="00C40D25"/>
    <w:rsid w:val="00C41C86"/>
    <w:rsid w:val="00C42C36"/>
    <w:rsid w:val="00C43A3B"/>
    <w:rsid w:val="00C45182"/>
    <w:rsid w:val="00C46705"/>
    <w:rsid w:val="00C47058"/>
    <w:rsid w:val="00C50575"/>
    <w:rsid w:val="00C51CAE"/>
    <w:rsid w:val="00C51E4D"/>
    <w:rsid w:val="00C52296"/>
    <w:rsid w:val="00C5277A"/>
    <w:rsid w:val="00C528F5"/>
    <w:rsid w:val="00C53B90"/>
    <w:rsid w:val="00C544CE"/>
    <w:rsid w:val="00C54FD7"/>
    <w:rsid w:val="00C55087"/>
    <w:rsid w:val="00C61222"/>
    <w:rsid w:val="00C62FC1"/>
    <w:rsid w:val="00C64102"/>
    <w:rsid w:val="00C64133"/>
    <w:rsid w:val="00C67170"/>
    <w:rsid w:val="00C67CC8"/>
    <w:rsid w:val="00C67E58"/>
    <w:rsid w:val="00C70895"/>
    <w:rsid w:val="00C73E23"/>
    <w:rsid w:val="00C7605C"/>
    <w:rsid w:val="00C761B8"/>
    <w:rsid w:val="00C76F69"/>
    <w:rsid w:val="00C80207"/>
    <w:rsid w:val="00C813C6"/>
    <w:rsid w:val="00C821F2"/>
    <w:rsid w:val="00C829EB"/>
    <w:rsid w:val="00C83FB3"/>
    <w:rsid w:val="00C848E9"/>
    <w:rsid w:val="00C8597B"/>
    <w:rsid w:val="00C85B4F"/>
    <w:rsid w:val="00C86D99"/>
    <w:rsid w:val="00C86EF2"/>
    <w:rsid w:val="00C87BB1"/>
    <w:rsid w:val="00C9324F"/>
    <w:rsid w:val="00C944CA"/>
    <w:rsid w:val="00C955B3"/>
    <w:rsid w:val="00C97C2D"/>
    <w:rsid w:val="00CA1280"/>
    <w:rsid w:val="00CA43F6"/>
    <w:rsid w:val="00CA4941"/>
    <w:rsid w:val="00CA4CC3"/>
    <w:rsid w:val="00CA61E0"/>
    <w:rsid w:val="00CA7388"/>
    <w:rsid w:val="00CB07EB"/>
    <w:rsid w:val="00CB28CB"/>
    <w:rsid w:val="00CB4435"/>
    <w:rsid w:val="00CB4FA0"/>
    <w:rsid w:val="00CC00AC"/>
    <w:rsid w:val="00CC1000"/>
    <w:rsid w:val="00CC30DD"/>
    <w:rsid w:val="00CC31A8"/>
    <w:rsid w:val="00CC373E"/>
    <w:rsid w:val="00CC39DF"/>
    <w:rsid w:val="00CC41D1"/>
    <w:rsid w:val="00CC51B9"/>
    <w:rsid w:val="00CC528B"/>
    <w:rsid w:val="00CD321D"/>
    <w:rsid w:val="00CD4514"/>
    <w:rsid w:val="00CD66A8"/>
    <w:rsid w:val="00CE308D"/>
    <w:rsid w:val="00CE3943"/>
    <w:rsid w:val="00CE4A5B"/>
    <w:rsid w:val="00CE4B3E"/>
    <w:rsid w:val="00CE500B"/>
    <w:rsid w:val="00CE5984"/>
    <w:rsid w:val="00CE60E9"/>
    <w:rsid w:val="00CE73FC"/>
    <w:rsid w:val="00CE7EA1"/>
    <w:rsid w:val="00CF18AF"/>
    <w:rsid w:val="00CF22A2"/>
    <w:rsid w:val="00CF394B"/>
    <w:rsid w:val="00CF4493"/>
    <w:rsid w:val="00CF7013"/>
    <w:rsid w:val="00CF741C"/>
    <w:rsid w:val="00D0054F"/>
    <w:rsid w:val="00D019F8"/>
    <w:rsid w:val="00D0227E"/>
    <w:rsid w:val="00D025F0"/>
    <w:rsid w:val="00D03038"/>
    <w:rsid w:val="00D052FE"/>
    <w:rsid w:val="00D06C2C"/>
    <w:rsid w:val="00D14468"/>
    <w:rsid w:val="00D1530E"/>
    <w:rsid w:val="00D16EB9"/>
    <w:rsid w:val="00D172FF"/>
    <w:rsid w:val="00D20440"/>
    <w:rsid w:val="00D206BA"/>
    <w:rsid w:val="00D2077D"/>
    <w:rsid w:val="00D21255"/>
    <w:rsid w:val="00D21CFA"/>
    <w:rsid w:val="00D23B2E"/>
    <w:rsid w:val="00D254CE"/>
    <w:rsid w:val="00D26ED5"/>
    <w:rsid w:val="00D27F71"/>
    <w:rsid w:val="00D31C93"/>
    <w:rsid w:val="00D31D3D"/>
    <w:rsid w:val="00D320B9"/>
    <w:rsid w:val="00D32AC7"/>
    <w:rsid w:val="00D332BD"/>
    <w:rsid w:val="00D334A0"/>
    <w:rsid w:val="00D3698B"/>
    <w:rsid w:val="00D373B1"/>
    <w:rsid w:val="00D404FC"/>
    <w:rsid w:val="00D40751"/>
    <w:rsid w:val="00D40C34"/>
    <w:rsid w:val="00D44465"/>
    <w:rsid w:val="00D44594"/>
    <w:rsid w:val="00D45044"/>
    <w:rsid w:val="00D45481"/>
    <w:rsid w:val="00D50062"/>
    <w:rsid w:val="00D50158"/>
    <w:rsid w:val="00D5090D"/>
    <w:rsid w:val="00D5146D"/>
    <w:rsid w:val="00D52C62"/>
    <w:rsid w:val="00D53C08"/>
    <w:rsid w:val="00D5484F"/>
    <w:rsid w:val="00D54CFD"/>
    <w:rsid w:val="00D55852"/>
    <w:rsid w:val="00D560D6"/>
    <w:rsid w:val="00D5758B"/>
    <w:rsid w:val="00D60345"/>
    <w:rsid w:val="00D6206C"/>
    <w:rsid w:val="00D642D0"/>
    <w:rsid w:val="00D66494"/>
    <w:rsid w:val="00D669D4"/>
    <w:rsid w:val="00D66DBD"/>
    <w:rsid w:val="00D67AC2"/>
    <w:rsid w:val="00D67B3C"/>
    <w:rsid w:val="00D7030B"/>
    <w:rsid w:val="00D706F2"/>
    <w:rsid w:val="00D70F24"/>
    <w:rsid w:val="00D72D10"/>
    <w:rsid w:val="00D7301B"/>
    <w:rsid w:val="00D73853"/>
    <w:rsid w:val="00D74545"/>
    <w:rsid w:val="00D75B29"/>
    <w:rsid w:val="00D76AFC"/>
    <w:rsid w:val="00D80DFB"/>
    <w:rsid w:val="00D823D5"/>
    <w:rsid w:val="00D82884"/>
    <w:rsid w:val="00D82EC1"/>
    <w:rsid w:val="00D839F2"/>
    <w:rsid w:val="00D8408B"/>
    <w:rsid w:val="00D84226"/>
    <w:rsid w:val="00D866E0"/>
    <w:rsid w:val="00D8675B"/>
    <w:rsid w:val="00D86CC7"/>
    <w:rsid w:val="00D86DD1"/>
    <w:rsid w:val="00D90599"/>
    <w:rsid w:val="00D90DB4"/>
    <w:rsid w:val="00D92B24"/>
    <w:rsid w:val="00D95840"/>
    <w:rsid w:val="00DA0800"/>
    <w:rsid w:val="00DA0FA5"/>
    <w:rsid w:val="00DA137C"/>
    <w:rsid w:val="00DA4D8B"/>
    <w:rsid w:val="00DA538B"/>
    <w:rsid w:val="00DA6DC1"/>
    <w:rsid w:val="00DB051F"/>
    <w:rsid w:val="00DB0FDB"/>
    <w:rsid w:val="00DB1BF4"/>
    <w:rsid w:val="00DB31F8"/>
    <w:rsid w:val="00DB3697"/>
    <w:rsid w:val="00DB45F3"/>
    <w:rsid w:val="00DB4671"/>
    <w:rsid w:val="00DB4FBF"/>
    <w:rsid w:val="00DB53A5"/>
    <w:rsid w:val="00DB5776"/>
    <w:rsid w:val="00DC0517"/>
    <w:rsid w:val="00DC1159"/>
    <w:rsid w:val="00DC2581"/>
    <w:rsid w:val="00DC2E30"/>
    <w:rsid w:val="00DC3803"/>
    <w:rsid w:val="00DC432F"/>
    <w:rsid w:val="00DC5451"/>
    <w:rsid w:val="00DC5902"/>
    <w:rsid w:val="00DC762A"/>
    <w:rsid w:val="00DD00B8"/>
    <w:rsid w:val="00DD15CC"/>
    <w:rsid w:val="00DD25F5"/>
    <w:rsid w:val="00DD3803"/>
    <w:rsid w:val="00DD436F"/>
    <w:rsid w:val="00DD5047"/>
    <w:rsid w:val="00DD556B"/>
    <w:rsid w:val="00DD5616"/>
    <w:rsid w:val="00DD71EA"/>
    <w:rsid w:val="00DE05F4"/>
    <w:rsid w:val="00DE2629"/>
    <w:rsid w:val="00DE3BDE"/>
    <w:rsid w:val="00DE5C88"/>
    <w:rsid w:val="00DE65F5"/>
    <w:rsid w:val="00DE6E60"/>
    <w:rsid w:val="00DE7D29"/>
    <w:rsid w:val="00DF0925"/>
    <w:rsid w:val="00DF0D73"/>
    <w:rsid w:val="00DF1007"/>
    <w:rsid w:val="00DF1B97"/>
    <w:rsid w:val="00DF2203"/>
    <w:rsid w:val="00DF2861"/>
    <w:rsid w:val="00DF4E02"/>
    <w:rsid w:val="00DF5513"/>
    <w:rsid w:val="00DF7439"/>
    <w:rsid w:val="00DF7B57"/>
    <w:rsid w:val="00E02420"/>
    <w:rsid w:val="00E03184"/>
    <w:rsid w:val="00E03452"/>
    <w:rsid w:val="00E05372"/>
    <w:rsid w:val="00E053D8"/>
    <w:rsid w:val="00E057B3"/>
    <w:rsid w:val="00E05ACE"/>
    <w:rsid w:val="00E10941"/>
    <w:rsid w:val="00E11CF7"/>
    <w:rsid w:val="00E1224D"/>
    <w:rsid w:val="00E12F28"/>
    <w:rsid w:val="00E12F86"/>
    <w:rsid w:val="00E130B0"/>
    <w:rsid w:val="00E13D0D"/>
    <w:rsid w:val="00E13E71"/>
    <w:rsid w:val="00E1519F"/>
    <w:rsid w:val="00E15F35"/>
    <w:rsid w:val="00E163BF"/>
    <w:rsid w:val="00E2085F"/>
    <w:rsid w:val="00E21F83"/>
    <w:rsid w:val="00E22129"/>
    <w:rsid w:val="00E22EB7"/>
    <w:rsid w:val="00E22EC2"/>
    <w:rsid w:val="00E323CD"/>
    <w:rsid w:val="00E32FAD"/>
    <w:rsid w:val="00E330CD"/>
    <w:rsid w:val="00E35463"/>
    <w:rsid w:val="00E35771"/>
    <w:rsid w:val="00E35ABC"/>
    <w:rsid w:val="00E366FE"/>
    <w:rsid w:val="00E37273"/>
    <w:rsid w:val="00E40810"/>
    <w:rsid w:val="00E4176F"/>
    <w:rsid w:val="00E42E7A"/>
    <w:rsid w:val="00E4301C"/>
    <w:rsid w:val="00E454B6"/>
    <w:rsid w:val="00E45D32"/>
    <w:rsid w:val="00E463B3"/>
    <w:rsid w:val="00E51703"/>
    <w:rsid w:val="00E52760"/>
    <w:rsid w:val="00E5406F"/>
    <w:rsid w:val="00E55E6E"/>
    <w:rsid w:val="00E604C0"/>
    <w:rsid w:val="00E60A06"/>
    <w:rsid w:val="00E6453C"/>
    <w:rsid w:val="00E67429"/>
    <w:rsid w:val="00E70C13"/>
    <w:rsid w:val="00E723A1"/>
    <w:rsid w:val="00E72A24"/>
    <w:rsid w:val="00E74BC5"/>
    <w:rsid w:val="00E751E8"/>
    <w:rsid w:val="00E759B4"/>
    <w:rsid w:val="00E75D58"/>
    <w:rsid w:val="00E75F95"/>
    <w:rsid w:val="00E76158"/>
    <w:rsid w:val="00E77401"/>
    <w:rsid w:val="00E8053D"/>
    <w:rsid w:val="00E81561"/>
    <w:rsid w:val="00E82993"/>
    <w:rsid w:val="00E82C35"/>
    <w:rsid w:val="00E8564E"/>
    <w:rsid w:val="00E8594F"/>
    <w:rsid w:val="00E860AF"/>
    <w:rsid w:val="00E90B0E"/>
    <w:rsid w:val="00E92B1B"/>
    <w:rsid w:val="00E93EA2"/>
    <w:rsid w:val="00E940D9"/>
    <w:rsid w:val="00E941C3"/>
    <w:rsid w:val="00E94E7E"/>
    <w:rsid w:val="00E95303"/>
    <w:rsid w:val="00E956F5"/>
    <w:rsid w:val="00E957C2"/>
    <w:rsid w:val="00E97C76"/>
    <w:rsid w:val="00EA1A05"/>
    <w:rsid w:val="00EA3B20"/>
    <w:rsid w:val="00EA46A9"/>
    <w:rsid w:val="00EA56DF"/>
    <w:rsid w:val="00EB1466"/>
    <w:rsid w:val="00EB360C"/>
    <w:rsid w:val="00EB4819"/>
    <w:rsid w:val="00EB4F4C"/>
    <w:rsid w:val="00EB5721"/>
    <w:rsid w:val="00EB673D"/>
    <w:rsid w:val="00EC15B1"/>
    <w:rsid w:val="00EC1A42"/>
    <w:rsid w:val="00EC1EE3"/>
    <w:rsid w:val="00EC2971"/>
    <w:rsid w:val="00EC3753"/>
    <w:rsid w:val="00EC46B6"/>
    <w:rsid w:val="00EC63DF"/>
    <w:rsid w:val="00EC6E85"/>
    <w:rsid w:val="00EC7093"/>
    <w:rsid w:val="00EC715C"/>
    <w:rsid w:val="00ED0188"/>
    <w:rsid w:val="00ED08CC"/>
    <w:rsid w:val="00ED0EF0"/>
    <w:rsid w:val="00ED3278"/>
    <w:rsid w:val="00ED5118"/>
    <w:rsid w:val="00EE024F"/>
    <w:rsid w:val="00EE03A7"/>
    <w:rsid w:val="00EE0515"/>
    <w:rsid w:val="00EE0F00"/>
    <w:rsid w:val="00EE3388"/>
    <w:rsid w:val="00EE6254"/>
    <w:rsid w:val="00EF0D0D"/>
    <w:rsid w:val="00EF11CF"/>
    <w:rsid w:val="00EF29E5"/>
    <w:rsid w:val="00EF2B3A"/>
    <w:rsid w:val="00EF2C69"/>
    <w:rsid w:val="00EF384C"/>
    <w:rsid w:val="00EF51F5"/>
    <w:rsid w:val="00EF5491"/>
    <w:rsid w:val="00EF7972"/>
    <w:rsid w:val="00F003C3"/>
    <w:rsid w:val="00F03345"/>
    <w:rsid w:val="00F041CC"/>
    <w:rsid w:val="00F04AE5"/>
    <w:rsid w:val="00F05C02"/>
    <w:rsid w:val="00F07C0F"/>
    <w:rsid w:val="00F103BF"/>
    <w:rsid w:val="00F1098F"/>
    <w:rsid w:val="00F11EFD"/>
    <w:rsid w:val="00F12944"/>
    <w:rsid w:val="00F13B47"/>
    <w:rsid w:val="00F13DD3"/>
    <w:rsid w:val="00F13EC4"/>
    <w:rsid w:val="00F14026"/>
    <w:rsid w:val="00F144D6"/>
    <w:rsid w:val="00F16918"/>
    <w:rsid w:val="00F1697E"/>
    <w:rsid w:val="00F16F03"/>
    <w:rsid w:val="00F17EAD"/>
    <w:rsid w:val="00F207B8"/>
    <w:rsid w:val="00F20DCC"/>
    <w:rsid w:val="00F212D0"/>
    <w:rsid w:val="00F2161A"/>
    <w:rsid w:val="00F228AC"/>
    <w:rsid w:val="00F22983"/>
    <w:rsid w:val="00F234D6"/>
    <w:rsid w:val="00F25A25"/>
    <w:rsid w:val="00F25E28"/>
    <w:rsid w:val="00F2624A"/>
    <w:rsid w:val="00F27048"/>
    <w:rsid w:val="00F2728C"/>
    <w:rsid w:val="00F276EB"/>
    <w:rsid w:val="00F2781C"/>
    <w:rsid w:val="00F304C1"/>
    <w:rsid w:val="00F32E8A"/>
    <w:rsid w:val="00F33CC7"/>
    <w:rsid w:val="00F34D82"/>
    <w:rsid w:val="00F357FC"/>
    <w:rsid w:val="00F432D0"/>
    <w:rsid w:val="00F443A6"/>
    <w:rsid w:val="00F45C55"/>
    <w:rsid w:val="00F46DF9"/>
    <w:rsid w:val="00F47E90"/>
    <w:rsid w:val="00F5119D"/>
    <w:rsid w:val="00F512A8"/>
    <w:rsid w:val="00F518DB"/>
    <w:rsid w:val="00F520D3"/>
    <w:rsid w:val="00F532F5"/>
    <w:rsid w:val="00F5630E"/>
    <w:rsid w:val="00F57524"/>
    <w:rsid w:val="00F57A8B"/>
    <w:rsid w:val="00F60EFB"/>
    <w:rsid w:val="00F61147"/>
    <w:rsid w:val="00F63788"/>
    <w:rsid w:val="00F64593"/>
    <w:rsid w:val="00F64AE9"/>
    <w:rsid w:val="00F668AC"/>
    <w:rsid w:val="00F70208"/>
    <w:rsid w:val="00F709CD"/>
    <w:rsid w:val="00F72700"/>
    <w:rsid w:val="00F74635"/>
    <w:rsid w:val="00F7497A"/>
    <w:rsid w:val="00F75D29"/>
    <w:rsid w:val="00F7682A"/>
    <w:rsid w:val="00F7741F"/>
    <w:rsid w:val="00F775DD"/>
    <w:rsid w:val="00F77B2A"/>
    <w:rsid w:val="00F8175A"/>
    <w:rsid w:val="00F820A0"/>
    <w:rsid w:val="00F82A17"/>
    <w:rsid w:val="00F85AC1"/>
    <w:rsid w:val="00F864F0"/>
    <w:rsid w:val="00F865A3"/>
    <w:rsid w:val="00F869C8"/>
    <w:rsid w:val="00F906D2"/>
    <w:rsid w:val="00F90D02"/>
    <w:rsid w:val="00F9146D"/>
    <w:rsid w:val="00F914B5"/>
    <w:rsid w:val="00F91D40"/>
    <w:rsid w:val="00F927B8"/>
    <w:rsid w:val="00F95C22"/>
    <w:rsid w:val="00F96FBB"/>
    <w:rsid w:val="00FA03FA"/>
    <w:rsid w:val="00FA0419"/>
    <w:rsid w:val="00FA2102"/>
    <w:rsid w:val="00FA2A63"/>
    <w:rsid w:val="00FA4D71"/>
    <w:rsid w:val="00FA5E15"/>
    <w:rsid w:val="00FA67B5"/>
    <w:rsid w:val="00FB118B"/>
    <w:rsid w:val="00FB1F48"/>
    <w:rsid w:val="00FB2491"/>
    <w:rsid w:val="00FB30A4"/>
    <w:rsid w:val="00FB4D6D"/>
    <w:rsid w:val="00FB5F87"/>
    <w:rsid w:val="00FB6F23"/>
    <w:rsid w:val="00FB7E2B"/>
    <w:rsid w:val="00FB7EAB"/>
    <w:rsid w:val="00FC0F6C"/>
    <w:rsid w:val="00FC1B48"/>
    <w:rsid w:val="00FC348F"/>
    <w:rsid w:val="00FC7098"/>
    <w:rsid w:val="00FC72E5"/>
    <w:rsid w:val="00FC749C"/>
    <w:rsid w:val="00FC7AC6"/>
    <w:rsid w:val="00FD1002"/>
    <w:rsid w:val="00FD11AD"/>
    <w:rsid w:val="00FD236F"/>
    <w:rsid w:val="00FD2594"/>
    <w:rsid w:val="00FD2D7A"/>
    <w:rsid w:val="00FD2DA9"/>
    <w:rsid w:val="00FD3447"/>
    <w:rsid w:val="00FD36DD"/>
    <w:rsid w:val="00FD4239"/>
    <w:rsid w:val="00FD4F67"/>
    <w:rsid w:val="00FE0608"/>
    <w:rsid w:val="00FE21D2"/>
    <w:rsid w:val="00FE5A1E"/>
    <w:rsid w:val="00FE63E3"/>
    <w:rsid w:val="00FE7523"/>
    <w:rsid w:val="00FF0081"/>
    <w:rsid w:val="00FF085F"/>
    <w:rsid w:val="00FF58DB"/>
    <w:rsid w:val="00FF6860"/>
    <w:rsid w:val="01407D91"/>
    <w:rsid w:val="01C5204B"/>
    <w:rsid w:val="02021D15"/>
    <w:rsid w:val="0226064F"/>
    <w:rsid w:val="02633187"/>
    <w:rsid w:val="0263609C"/>
    <w:rsid w:val="026746CA"/>
    <w:rsid w:val="02BF505A"/>
    <w:rsid w:val="033A025F"/>
    <w:rsid w:val="038236BC"/>
    <w:rsid w:val="03BB222A"/>
    <w:rsid w:val="044A11D4"/>
    <w:rsid w:val="04C0479A"/>
    <w:rsid w:val="04D83774"/>
    <w:rsid w:val="04E2149F"/>
    <w:rsid w:val="055957A3"/>
    <w:rsid w:val="057240DE"/>
    <w:rsid w:val="05EE260B"/>
    <w:rsid w:val="064419E6"/>
    <w:rsid w:val="065A4CD9"/>
    <w:rsid w:val="06AB19A7"/>
    <w:rsid w:val="07435CE3"/>
    <w:rsid w:val="07555524"/>
    <w:rsid w:val="077177BC"/>
    <w:rsid w:val="07C04FF7"/>
    <w:rsid w:val="086705F2"/>
    <w:rsid w:val="089E4590"/>
    <w:rsid w:val="08DA77B4"/>
    <w:rsid w:val="08E51BCF"/>
    <w:rsid w:val="08F46A22"/>
    <w:rsid w:val="090F25C7"/>
    <w:rsid w:val="096F66D1"/>
    <w:rsid w:val="09756384"/>
    <w:rsid w:val="0A0D6625"/>
    <w:rsid w:val="0A77654F"/>
    <w:rsid w:val="0B186105"/>
    <w:rsid w:val="0B3D270D"/>
    <w:rsid w:val="0B6A3C77"/>
    <w:rsid w:val="0BB90D98"/>
    <w:rsid w:val="0BCB22C5"/>
    <w:rsid w:val="0C01035F"/>
    <w:rsid w:val="0C0A51FF"/>
    <w:rsid w:val="0C0B4943"/>
    <w:rsid w:val="0C3D54FC"/>
    <w:rsid w:val="0C9B0D3C"/>
    <w:rsid w:val="0CFF4D6E"/>
    <w:rsid w:val="0CFF578F"/>
    <w:rsid w:val="0D2C428E"/>
    <w:rsid w:val="0D936E25"/>
    <w:rsid w:val="0D954A71"/>
    <w:rsid w:val="0D976DA2"/>
    <w:rsid w:val="0DD631BE"/>
    <w:rsid w:val="0E132C76"/>
    <w:rsid w:val="0E823C24"/>
    <w:rsid w:val="0FB025CE"/>
    <w:rsid w:val="10117A5A"/>
    <w:rsid w:val="103467FF"/>
    <w:rsid w:val="104250EE"/>
    <w:rsid w:val="106C0101"/>
    <w:rsid w:val="10CD0DDC"/>
    <w:rsid w:val="114F1FDF"/>
    <w:rsid w:val="11A3380D"/>
    <w:rsid w:val="11AD275E"/>
    <w:rsid w:val="11E05FFE"/>
    <w:rsid w:val="122A1CAF"/>
    <w:rsid w:val="125919EE"/>
    <w:rsid w:val="144C007C"/>
    <w:rsid w:val="148C6EAA"/>
    <w:rsid w:val="157A7E0B"/>
    <w:rsid w:val="15DD250E"/>
    <w:rsid w:val="16E82A20"/>
    <w:rsid w:val="17A16AB3"/>
    <w:rsid w:val="17B22F6F"/>
    <w:rsid w:val="18003E5B"/>
    <w:rsid w:val="18022C90"/>
    <w:rsid w:val="184D0642"/>
    <w:rsid w:val="19B73EA6"/>
    <w:rsid w:val="1A1B030A"/>
    <w:rsid w:val="1A836B7F"/>
    <w:rsid w:val="1AD465B3"/>
    <w:rsid w:val="1AE21E52"/>
    <w:rsid w:val="1AEA6C41"/>
    <w:rsid w:val="1C2141CD"/>
    <w:rsid w:val="1C3044E5"/>
    <w:rsid w:val="1C65561F"/>
    <w:rsid w:val="1C7412D8"/>
    <w:rsid w:val="1CB47F1E"/>
    <w:rsid w:val="1E087893"/>
    <w:rsid w:val="1E7A0E62"/>
    <w:rsid w:val="1ECB46B8"/>
    <w:rsid w:val="1F08012F"/>
    <w:rsid w:val="1F5A1002"/>
    <w:rsid w:val="1F8A635C"/>
    <w:rsid w:val="1FC951AF"/>
    <w:rsid w:val="1FCE1ACA"/>
    <w:rsid w:val="1FE45430"/>
    <w:rsid w:val="209F791A"/>
    <w:rsid w:val="20D42CFE"/>
    <w:rsid w:val="21333670"/>
    <w:rsid w:val="216E77C3"/>
    <w:rsid w:val="219B1BE2"/>
    <w:rsid w:val="21C9572C"/>
    <w:rsid w:val="21F030E0"/>
    <w:rsid w:val="222075DF"/>
    <w:rsid w:val="22575851"/>
    <w:rsid w:val="23587DAF"/>
    <w:rsid w:val="236D46A7"/>
    <w:rsid w:val="237B10DB"/>
    <w:rsid w:val="2395560A"/>
    <w:rsid w:val="23B842DC"/>
    <w:rsid w:val="23E70415"/>
    <w:rsid w:val="250C4243"/>
    <w:rsid w:val="250D5D04"/>
    <w:rsid w:val="261C3ECE"/>
    <w:rsid w:val="26961F61"/>
    <w:rsid w:val="26BB5F19"/>
    <w:rsid w:val="272C2329"/>
    <w:rsid w:val="27524B59"/>
    <w:rsid w:val="275D5813"/>
    <w:rsid w:val="27FE22FE"/>
    <w:rsid w:val="2828614C"/>
    <w:rsid w:val="28664EF2"/>
    <w:rsid w:val="28E70E60"/>
    <w:rsid w:val="29184C97"/>
    <w:rsid w:val="292B50B5"/>
    <w:rsid w:val="299A3DEC"/>
    <w:rsid w:val="29AD5FC0"/>
    <w:rsid w:val="2A4C26C7"/>
    <w:rsid w:val="2A4F578A"/>
    <w:rsid w:val="2AAF239A"/>
    <w:rsid w:val="2AFE52BF"/>
    <w:rsid w:val="2B203EB2"/>
    <w:rsid w:val="2B755660"/>
    <w:rsid w:val="2B7D2A06"/>
    <w:rsid w:val="2B977E82"/>
    <w:rsid w:val="2BD85E89"/>
    <w:rsid w:val="2BF00ED6"/>
    <w:rsid w:val="2C9978EE"/>
    <w:rsid w:val="2CA96BB6"/>
    <w:rsid w:val="2CB86BA1"/>
    <w:rsid w:val="2CD87BC1"/>
    <w:rsid w:val="2CE15604"/>
    <w:rsid w:val="2D612FC7"/>
    <w:rsid w:val="2D7133AA"/>
    <w:rsid w:val="2D931B05"/>
    <w:rsid w:val="2DAA2E98"/>
    <w:rsid w:val="2DBE3213"/>
    <w:rsid w:val="2DCB7EDE"/>
    <w:rsid w:val="2E010A75"/>
    <w:rsid w:val="2F3D68C0"/>
    <w:rsid w:val="2F475E80"/>
    <w:rsid w:val="2F57799C"/>
    <w:rsid w:val="2F7767C7"/>
    <w:rsid w:val="307C6EA0"/>
    <w:rsid w:val="30942022"/>
    <w:rsid w:val="3095109E"/>
    <w:rsid w:val="31E44C1C"/>
    <w:rsid w:val="31F26084"/>
    <w:rsid w:val="32226138"/>
    <w:rsid w:val="322B50F6"/>
    <w:rsid w:val="33293F04"/>
    <w:rsid w:val="335B5F64"/>
    <w:rsid w:val="33D23E6B"/>
    <w:rsid w:val="33D348B4"/>
    <w:rsid w:val="349D324B"/>
    <w:rsid w:val="34F30ADD"/>
    <w:rsid w:val="34F34A8F"/>
    <w:rsid w:val="357625B0"/>
    <w:rsid w:val="35873923"/>
    <w:rsid w:val="35D13BA6"/>
    <w:rsid w:val="365074DF"/>
    <w:rsid w:val="37EA3ED4"/>
    <w:rsid w:val="38016A22"/>
    <w:rsid w:val="38304045"/>
    <w:rsid w:val="38886070"/>
    <w:rsid w:val="388F5BD2"/>
    <w:rsid w:val="389D54F7"/>
    <w:rsid w:val="38BD5643"/>
    <w:rsid w:val="39CD66DB"/>
    <w:rsid w:val="3A0F1BF6"/>
    <w:rsid w:val="3A1C2CAB"/>
    <w:rsid w:val="3AB629F4"/>
    <w:rsid w:val="3B1A0EDD"/>
    <w:rsid w:val="3BAA2328"/>
    <w:rsid w:val="3CE90890"/>
    <w:rsid w:val="3CF83637"/>
    <w:rsid w:val="3D0C3E22"/>
    <w:rsid w:val="3D35573C"/>
    <w:rsid w:val="3D5C233F"/>
    <w:rsid w:val="3D774AA4"/>
    <w:rsid w:val="3DF05418"/>
    <w:rsid w:val="3E18573F"/>
    <w:rsid w:val="3E1A7CE4"/>
    <w:rsid w:val="3E2E2EDF"/>
    <w:rsid w:val="3E41540E"/>
    <w:rsid w:val="3F0A1161"/>
    <w:rsid w:val="3F3C44FF"/>
    <w:rsid w:val="3F5B3D37"/>
    <w:rsid w:val="3F9D5695"/>
    <w:rsid w:val="3FA77264"/>
    <w:rsid w:val="3FAB2471"/>
    <w:rsid w:val="41314B85"/>
    <w:rsid w:val="4141186B"/>
    <w:rsid w:val="416B5018"/>
    <w:rsid w:val="427734A8"/>
    <w:rsid w:val="429C18FC"/>
    <w:rsid w:val="42C61AB2"/>
    <w:rsid w:val="431D27DF"/>
    <w:rsid w:val="431E3FC1"/>
    <w:rsid w:val="431F37EA"/>
    <w:rsid w:val="432913F7"/>
    <w:rsid w:val="43533C48"/>
    <w:rsid w:val="43C55D92"/>
    <w:rsid w:val="449E2783"/>
    <w:rsid w:val="44D56820"/>
    <w:rsid w:val="45140D01"/>
    <w:rsid w:val="454B3C0C"/>
    <w:rsid w:val="4586782C"/>
    <w:rsid w:val="465A4B80"/>
    <w:rsid w:val="468A0A2E"/>
    <w:rsid w:val="46902C58"/>
    <w:rsid w:val="47F77762"/>
    <w:rsid w:val="486D5EF5"/>
    <w:rsid w:val="48E44E8E"/>
    <w:rsid w:val="490A785E"/>
    <w:rsid w:val="49E454CF"/>
    <w:rsid w:val="4A8164B4"/>
    <w:rsid w:val="4A8B0EE8"/>
    <w:rsid w:val="4AF710BA"/>
    <w:rsid w:val="4B714806"/>
    <w:rsid w:val="4B7B7569"/>
    <w:rsid w:val="4BC6560F"/>
    <w:rsid w:val="4D755F25"/>
    <w:rsid w:val="4D9234F0"/>
    <w:rsid w:val="4E8D2816"/>
    <w:rsid w:val="4FC4754C"/>
    <w:rsid w:val="513D7099"/>
    <w:rsid w:val="51535492"/>
    <w:rsid w:val="515F6268"/>
    <w:rsid w:val="51FD7A3E"/>
    <w:rsid w:val="52BB1F24"/>
    <w:rsid w:val="537C6CB8"/>
    <w:rsid w:val="53C10649"/>
    <w:rsid w:val="53CF0825"/>
    <w:rsid w:val="53FC2BE4"/>
    <w:rsid w:val="54C83ED3"/>
    <w:rsid w:val="5533613E"/>
    <w:rsid w:val="55570B92"/>
    <w:rsid w:val="55CD561B"/>
    <w:rsid w:val="55F8483A"/>
    <w:rsid w:val="561673A7"/>
    <w:rsid w:val="567A506E"/>
    <w:rsid w:val="56E61107"/>
    <w:rsid w:val="56E7446C"/>
    <w:rsid w:val="56FB5393"/>
    <w:rsid w:val="57FE292A"/>
    <w:rsid w:val="584A18AD"/>
    <w:rsid w:val="586A6354"/>
    <w:rsid w:val="58B40EE3"/>
    <w:rsid w:val="593733F4"/>
    <w:rsid w:val="594A41DC"/>
    <w:rsid w:val="59D20258"/>
    <w:rsid w:val="59DC3DD0"/>
    <w:rsid w:val="5A2D5850"/>
    <w:rsid w:val="5A3D2AD6"/>
    <w:rsid w:val="5A477F57"/>
    <w:rsid w:val="5B2717E9"/>
    <w:rsid w:val="5B390ECB"/>
    <w:rsid w:val="5B697B14"/>
    <w:rsid w:val="5BED326D"/>
    <w:rsid w:val="5C55206C"/>
    <w:rsid w:val="5C983002"/>
    <w:rsid w:val="5CA65552"/>
    <w:rsid w:val="5CE7320F"/>
    <w:rsid w:val="5D384DF0"/>
    <w:rsid w:val="5DE41FBA"/>
    <w:rsid w:val="5E1C4E9A"/>
    <w:rsid w:val="5E1C7185"/>
    <w:rsid w:val="5E492D96"/>
    <w:rsid w:val="5E572248"/>
    <w:rsid w:val="5E781D53"/>
    <w:rsid w:val="5F3F637C"/>
    <w:rsid w:val="5F634633"/>
    <w:rsid w:val="5FBA11EE"/>
    <w:rsid w:val="5FD76DD8"/>
    <w:rsid w:val="60C04FCB"/>
    <w:rsid w:val="61962A55"/>
    <w:rsid w:val="61B966A7"/>
    <w:rsid w:val="621219E9"/>
    <w:rsid w:val="627A06E6"/>
    <w:rsid w:val="632458C8"/>
    <w:rsid w:val="632F2500"/>
    <w:rsid w:val="63790166"/>
    <w:rsid w:val="637A0EB9"/>
    <w:rsid w:val="64236D06"/>
    <w:rsid w:val="64745A71"/>
    <w:rsid w:val="65436F68"/>
    <w:rsid w:val="65C6067A"/>
    <w:rsid w:val="65D34949"/>
    <w:rsid w:val="66BD056E"/>
    <w:rsid w:val="66C97715"/>
    <w:rsid w:val="67145E27"/>
    <w:rsid w:val="682876D4"/>
    <w:rsid w:val="68467FD4"/>
    <w:rsid w:val="685950A8"/>
    <w:rsid w:val="69052566"/>
    <w:rsid w:val="69437121"/>
    <w:rsid w:val="694F5621"/>
    <w:rsid w:val="697C73B2"/>
    <w:rsid w:val="6B611FD7"/>
    <w:rsid w:val="6C800A04"/>
    <w:rsid w:val="6D094416"/>
    <w:rsid w:val="6D5E54B9"/>
    <w:rsid w:val="6D996455"/>
    <w:rsid w:val="6DFE3225"/>
    <w:rsid w:val="6E1667EC"/>
    <w:rsid w:val="6EDF3DBD"/>
    <w:rsid w:val="6F2614AD"/>
    <w:rsid w:val="6FA065B6"/>
    <w:rsid w:val="703C2F71"/>
    <w:rsid w:val="71951D14"/>
    <w:rsid w:val="71CC74BE"/>
    <w:rsid w:val="71CE6400"/>
    <w:rsid w:val="71D473CE"/>
    <w:rsid w:val="7208425E"/>
    <w:rsid w:val="73C53B74"/>
    <w:rsid w:val="73E61EB3"/>
    <w:rsid w:val="73F118EE"/>
    <w:rsid w:val="73F34D35"/>
    <w:rsid w:val="74605CA2"/>
    <w:rsid w:val="7494694D"/>
    <w:rsid w:val="749A515D"/>
    <w:rsid w:val="74A46CCB"/>
    <w:rsid w:val="74AE2F24"/>
    <w:rsid w:val="74DF7C10"/>
    <w:rsid w:val="75425984"/>
    <w:rsid w:val="75B50F35"/>
    <w:rsid w:val="76147651"/>
    <w:rsid w:val="766052A4"/>
    <w:rsid w:val="767827B3"/>
    <w:rsid w:val="76864D64"/>
    <w:rsid w:val="76913525"/>
    <w:rsid w:val="775733B2"/>
    <w:rsid w:val="780D29EA"/>
    <w:rsid w:val="78387E8F"/>
    <w:rsid w:val="784D517D"/>
    <w:rsid w:val="790210F9"/>
    <w:rsid w:val="796E409C"/>
    <w:rsid w:val="7A065770"/>
    <w:rsid w:val="7A56595E"/>
    <w:rsid w:val="7AB85C2A"/>
    <w:rsid w:val="7AFD6C54"/>
    <w:rsid w:val="7B300FD7"/>
    <w:rsid w:val="7B4F0D50"/>
    <w:rsid w:val="7B971593"/>
    <w:rsid w:val="7BEC257C"/>
    <w:rsid w:val="7BF52D53"/>
    <w:rsid w:val="7C183C36"/>
    <w:rsid w:val="7CB57728"/>
    <w:rsid w:val="7CBB5CBC"/>
    <w:rsid w:val="7D191A8A"/>
    <w:rsid w:val="7D5D49A1"/>
    <w:rsid w:val="7D6667B3"/>
    <w:rsid w:val="7DAB57D2"/>
    <w:rsid w:val="7DFC0382"/>
    <w:rsid w:val="7E4B1BFE"/>
    <w:rsid w:val="7EC607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12"/>
    <w:qFormat/>
    <w:uiPriority w:val="0"/>
    <w:pPr>
      <w:widowControl/>
      <w:numPr>
        <w:ilvl w:val="1"/>
        <w:numId w:val="1"/>
      </w:numPr>
      <w:tabs>
        <w:tab w:val="left" w:pos="900"/>
        <w:tab w:val="clear" w:pos="860"/>
      </w:tabs>
      <w:autoSpaceDE w:val="0"/>
      <w:autoSpaceDN w:val="0"/>
      <w:adjustRightInd w:val="0"/>
      <w:spacing w:line="360" w:lineRule="auto"/>
      <w:textAlignment w:val="baseline"/>
      <w:outlineLvl w:val="1"/>
    </w:pPr>
    <w:rPr>
      <w:rFonts w:eastAsia="楷体_GB2312"/>
      <w:kern w:val="0"/>
      <w:sz w:val="24"/>
      <w:szCs w:val="24"/>
    </w:rPr>
  </w:style>
  <w:style w:type="paragraph" w:styleId="3">
    <w:name w:val="heading 3"/>
    <w:basedOn w:val="1"/>
    <w:next w:val="1"/>
    <w:link w:val="13"/>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4">
    <w:name w:val="Body Text Indent 2"/>
    <w:basedOn w:val="1"/>
    <w:uiPriority w:val="0"/>
    <w:pPr>
      <w:spacing w:after="120" w:line="480" w:lineRule="auto"/>
      <w:ind w:left="420" w:leftChars="200"/>
    </w:pPr>
    <w:rPr>
      <w:szCs w:val="24"/>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customStyle="1" w:styleId="12">
    <w:name w:val="标题 2 Char"/>
    <w:link w:val="2"/>
    <w:uiPriority w:val="0"/>
    <w:rPr>
      <w:rFonts w:eastAsia="楷体_GB2312"/>
      <w:sz w:val="24"/>
      <w:szCs w:val="24"/>
    </w:rPr>
  </w:style>
  <w:style w:type="character" w:customStyle="1" w:styleId="13">
    <w:name w:val="标题 3 Char"/>
    <w:link w:val="3"/>
    <w:semiHidden/>
    <w:uiPriority w:val="0"/>
    <w:rPr>
      <w:b/>
      <w:bCs/>
      <w:kern w:val="2"/>
      <w:sz w:val="32"/>
      <w:szCs w:val="32"/>
    </w:rPr>
  </w:style>
  <w:style w:type="character" w:customStyle="1" w:styleId="14">
    <w:name w:val="页脚 Char"/>
    <w:link w:val="5"/>
    <w:uiPriority w:val="0"/>
    <w:rPr>
      <w:kern w:val="2"/>
      <w:sz w:val="18"/>
      <w:szCs w:val="18"/>
    </w:rPr>
  </w:style>
  <w:style w:type="character" w:customStyle="1" w:styleId="15">
    <w:name w:val="页眉 Char"/>
    <w:link w:val="6"/>
    <w:uiPriority w:val="0"/>
    <w:rPr>
      <w:kern w:val="2"/>
      <w:sz w:val="18"/>
      <w:szCs w:val="18"/>
    </w:rPr>
  </w:style>
  <w:style w:type="paragraph" w:customStyle="1" w:styleId="16">
    <w:name w:val="Body Text Sgl J"/>
    <w:basedOn w:val="1"/>
    <w:uiPriority w:val="0"/>
    <w:pPr>
      <w:widowControl/>
      <w:spacing w:after="240"/>
      <w:ind w:firstLine="1440"/>
    </w:pPr>
    <w:rPr>
      <w:rFonts w:eastAsia="Times New Roman"/>
      <w:kern w:val="0"/>
      <w:sz w:val="24"/>
      <w:szCs w:val="24"/>
      <w:lang w:eastAsia="en-US"/>
    </w:rPr>
  </w:style>
  <w:style w:type="paragraph" w:customStyle="1" w:styleId="17">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984</Words>
  <Characters>5615</Characters>
  <Lines>46</Lines>
  <Paragraphs>13</Paragraphs>
  <TotalTime>0</TotalTime>
  <ScaleCrop>false</ScaleCrop>
  <LinksUpToDate>false</LinksUpToDate>
  <CharactersWithSpaces>6586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2021-01-13T06:48:00Z</dcterms:created>
  <dc:creator>X</dc:creator>
  <cp:lastModifiedBy>会飞的猫</cp:lastModifiedBy>
  <cp:lastPrinted>2012-01-09T01:26:00Z</cp:lastPrinted>
  <dcterms:modified xsi:type="dcterms:W3CDTF">2024-02-29T09:40:55Z</dcterms:modified>
  <dc:title>议案二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F65CBC6EF7654F4581E10A4C4A85A8BB_13</vt:lpwstr>
  </property>
</Properties>
</file>